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40"/>
      </w:pPr>
      <w:r>
        <w:rPr>
          <w:b/>
          <w:color w:val="F97316"/>
          <w:sz w:val="20"/>
        </w:rPr>
        <w:t>CORPORATE INTELLIGENCE BRIEF</w:t>
      </w:r>
    </w:p>
    <w:p>
      <w:pPr>
        <w:pStyle w:val="Title"/>
      </w:pPr>
      <w:r>
        <w:t>DAX Watch</w:t>
        <w:br/>
        <w:t>KW 31 / 2026</w:t>
      </w:r>
    </w:p>
    <w:p>
      <w:pPr>
        <w:spacing w:after="360"/>
      </w:pPr>
      <w:r>
        <w:rPr>
          <w:b/>
          <w:color w:val="475569"/>
          <w:sz w:val="30"/>
        </w:rPr>
        <w:t>Wachstum ist zurück – aber Cash Conversion und Ergebnisqualität entscheiden.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2891"/>
            <w:vAlign w:val="center"/>
            <w:shd w:fill="EAF2F8"/>
            <w:tcMar>
              <w:top w:w="150" w:type="dxa"/>
              <w:start w:w="110" w:type="dxa"/>
              <w:bottom w:w="150" w:type="dxa"/>
              <w:end w:w="110" w:type="dxa"/>
            </w:tcMar>
          </w:tcPr>
          <w:p>
            <w:pPr>
              <w:spacing w:after="40"/>
            </w:pPr>
            <w:r>
              <w:rPr>
                <w:b/>
                <w:color w:val="475569"/>
                <w:sz w:val="14"/>
              </w:rPr>
              <w:t>ZEITRAUM</w:t>
            </w:r>
          </w:p>
          <w:p>
            <w:pPr>
              <w:spacing w:after="0"/>
            </w:pPr>
            <w:r>
              <w:rPr>
                <w:b/>
                <w:color w:val="111827"/>
                <w:sz w:val="18"/>
              </w:rPr>
              <w:t>27. Juli bis 2. August 2026</w:t>
            </w:r>
          </w:p>
        </w:tc>
        <w:tc>
          <w:tcPr>
            <w:tcW w:type="dxa" w:w="2891"/>
            <w:vAlign w:val="center"/>
            <w:shd w:fill="FFF2E8"/>
            <w:tcMar>
              <w:top w:w="150" w:type="dxa"/>
              <w:start w:w="110" w:type="dxa"/>
              <w:bottom w:w="150" w:type="dxa"/>
              <w:end w:w="110" w:type="dxa"/>
            </w:tcMar>
          </w:tcPr>
          <w:p>
            <w:pPr>
              <w:spacing w:after="40"/>
            </w:pPr>
            <w:r>
              <w:rPr>
                <w:b/>
                <w:color w:val="475569"/>
                <w:sz w:val="14"/>
              </w:rPr>
              <w:t>BERICHTSSTAND</w:t>
            </w:r>
          </w:p>
          <w:p>
            <w:pPr>
              <w:spacing w:after="0"/>
            </w:pPr>
            <w:r>
              <w:rPr>
                <w:b/>
                <w:color w:val="111827"/>
                <w:sz w:val="18"/>
              </w:rPr>
              <w:t>2. August 2026</w:t>
            </w:r>
          </w:p>
        </w:tc>
        <w:tc>
          <w:tcPr>
            <w:tcW w:type="dxa" w:w="2891"/>
            <w:vAlign w:val="center"/>
            <w:shd w:fill="ECFDF5"/>
            <w:tcMar>
              <w:top w:w="150" w:type="dxa"/>
              <w:start w:w="110" w:type="dxa"/>
              <w:bottom w:w="150" w:type="dxa"/>
              <w:end w:w="110" w:type="dxa"/>
            </w:tcMar>
          </w:tcPr>
          <w:p>
            <w:pPr>
              <w:spacing w:after="40"/>
            </w:pPr>
            <w:r>
              <w:rPr>
                <w:b/>
                <w:color w:val="475569"/>
                <w:sz w:val="14"/>
              </w:rPr>
              <w:t>EVIDENZSTANDARD</w:t>
            </w:r>
          </w:p>
          <w:p>
            <w:pPr>
              <w:spacing w:after="0"/>
            </w:pPr>
            <w:r>
              <w:rPr>
                <w:b/>
                <w:color w:val="047857"/>
                <w:sz w:val="18"/>
              </w:rPr>
              <w:t>Primärquellen verlinkt</w:t>
            </w:r>
          </w:p>
        </w:tc>
      </w:tr>
    </w:tbl>
    <w:p>
      <w:pPr>
        <w:spacing w:before="360"/>
      </w:pPr>
      <w:r>
        <w:rPr>
          <w:sz w:val="22"/>
        </w:rPr>
        <w:t>Der Wochenbrief verbindet gespeicherte Fundamentaldaten mit den offiziellen Unternehmensmeldungen der abgeschlossenen Kalenderwoche. Jede quantitative Unternehmensangabe ist direkt mit ihrer Primärquelle verknüpft.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2"/>
      </w:tblGrid>
      <w:tr>
        <w:tc>
          <w:tcPr>
            <w:tcW w:type="dxa" w:w="10142"/>
            <w:shd w:fill="ECFD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  <w:color w:val="047857"/>
              </w:rPr>
              <w:t xml:space="preserve">SO LESEN SIE DIE EVIDENZ  </w:t>
            </w:r>
            <w:r>
              <w:t>Blau unterstrichene Kennzahlen öffnen die genaue Unternehmensquelle. Unter jedem Profil stehen Dokument, Veröffentlichungsdatum und Fundstelle. Nicht verifizierbare Werte werden nicht veröffentlicht.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Executive Summary</w:t>
      </w:r>
    </w:p>
    <w:p>
      <w:pPr>
        <w:pStyle w:val="ListBullet"/>
        <w:spacing w:after="120"/>
      </w:pPr>
      <w:r>
        <w:rPr>
          <w:b/>
        </w:rPr>
        <w:t xml:space="preserve">Wachstum ist breit sichtbar. </w:t>
      </w:r>
      <w:r>
        <w:t>Deutsche Bank, Adidas, Airbus und BASF zeigen deutliche operative Fortschritte; die Ergebnisqualität unterscheidet sich erheblich.</w:t>
      </w:r>
    </w:p>
    <w:p>
      <w:pPr>
        <w:pStyle w:val="ListBullet"/>
        <w:spacing w:after="120"/>
      </w:pPr>
      <w:r>
        <w:rPr>
          <w:b/>
        </w:rPr>
        <w:t xml:space="preserve">Cash Conversion trennt Signal von Schlagzeile. </w:t>
      </w:r>
      <w:r>
        <w:t>Airbus und BASF bleiben trotz starker Ergebniskennzahlen durch negativen freien Cashflow beziehungsweise Working-Capital-Bindung erklärungsbedürftig.</w:t>
      </w:r>
    </w:p>
    <w:p>
      <w:pPr>
        <w:pStyle w:val="ListBullet"/>
        <w:spacing w:after="120"/>
      </w:pPr>
      <w:r>
        <w:rPr>
          <w:b/>
        </w:rPr>
        <w:t xml:space="preserve">Prognosen senden kein einheitliches Konjunktursignal. </w:t>
      </w:r>
      <w:r>
        <w:t>Adidas und BASF erhöhen Ziele, Siemens Healthineers senkt den Umsatzkorridor bei zugleich höherer EPS-Prognose, Heidelberg Materials reduziert das obere Ende seines Ausblicks.</w:t>
      </w:r>
    </w:p>
    <w:p>
      <w:pPr>
        <w:pStyle w:val="ListBullet"/>
        <w:spacing w:after="120"/>
      </w:pPr>
      <w:r>
        <w:rPr>
          <w:b/>
        </w:rPr>
        <w:t xml:space="preserve">Die nächste Woche ist eine Ausführungsprüfung. </w:t>
      </w:r>
      <w:r>
        <w:t>Relevant sind Margenumsetzung, Working Capital, Auslieferungstempo und die Nachhaltigkeit der Kapitalrückführung.</w:t>
      </w:r>
    </w:p>
    <w:p>
      <w:pPr>
        <w:pStyle w:val="Heading1"/>
      </w:pPr>
      <w:r>
        <w:t>Signalübersicht</w:t>
      </w:r>
    </w:p>
    <w:p>
      <w:pPr>
        <w:spacing w:after="140"/>
      </w:pPr>
      <w:r>
        <w:t>Die Matrix verdichtet die Meldungen auf das entscheidende Financial-Intelligence-Signal. Die Fundamentalanker sind vollständig mit den jeweiligen Primärquellen verknüpft.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35"/>
        <w:gridCol w:w="2535"/>
        <w:gridCol w:w="2535"/>
        <w:gridCol w:w="2535"/>
      </w:tblGrid>
      <w:tr>
        <w:trPr>
          <w:tblHeader w:val="true"/>
        </w:trPr>
        <w:tc>
          <w:tcPr>
            <w:tcW w:type="dxa" w:w="1701"/>
            <w:shd w:fill="11182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6"/>
              </w:rPr>
              <w:t>Unternehmen</w:t>
            </w:r>
          </w:p>
        </w:tc>
        <w:tc>
          <w:tcPr>
            <w:tcW w:type="dxa" w:w="1871"/>
            <w:shd w:fill="11182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6"/>
              </w:rPr>
              <w:t>Wochensignal</w:t>
            </w:r>
          </w:p>
        </w:tc>
        <w:tc>
          <w:tcPr>
            <w:tcW w:type="dxa" w:w="3005"/>
            <w:shd w:fill="11182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6"/>
              </w:rPr>
              <w:t>Fundamentalanker</w:t>
            </w:r>
          </w:p>
        </w:tc>
        <w:tc>
          <w:tcPr>
            <w:tcW w:type="dxa" w:w="2438"/>
            <w:shd w:fill="11182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6"/>
              </w:rPr>
              <w:t>Nächster Prüfpunkt</w:t>
            </w:r>
          </w:p>
        </w:tc>
      </w:tr>
      <w:tr>
        <w:tc>
          <w:tcPr>
            <w:tcW w:type="dxa" w:w="170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sz w:val="15"/>
              </w:rPr>
              <w:t>Deutsche Bank</w:t>
            </w:r>
          </w:p>
        </w:tc>
        <w:tc>
          <w:tcPr>
            <w:tcW w:type="dxa" w:w="187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sz w:val="15"/>
              </w:rPr>
              <w:t>Stark</w:t>
            </w:r>
          </w:p>
        </w:tc>
        <w:tc>
          <w:tcPr>
            <w:tcW w:type="dxa" w:w="3005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hyperlink r:id="rId11" w:history="1">
              <w:r>
                <w:rPr>
                  <w:color w:val="2563EB"/>
                  <w:u w:val="single"/>
                  <w:sz w:val="14"/>
                  <w:szCs w:val="14"/>
                </w:rPr>
                <w:t>FY 2025</w:t>
              </w:r>
            </w:hyperlink>
            <w:r>
              <w:rPr>
                <w:sz w:val="14"/>
              </w:rPr>
              <w:t xml:space="preserve">: </w:t>
            </w:r>
            <w:hyperlink r:id="rId11" w:history="1">
              <w:r>
                <w:rPr>
                  <w:color w:val="2563EB"/>
                  <w:u w:val="single"/>
                  <w:sz w:val="14"/>
                  <w:szCs w:val="14"/>
                </w:rPr>
                <w:t>32,1 Mrd. EUR Erträge</w:t>
              </w:r>
            </w:hyperlink>
            <w:r>
              <w:rPr>
                <w:sz w:val="14"/>
              </w:rPr>
              <w:t xml:space="preserve"> und </w:t>
            </w:r>
            <w:hyperlink r:id="rId11" w:history="1">
              <w:r>
                <w:rPr>
                  <w:color w:val="2563EB"/>
                  <w:u w:val="single"/>
                  <w:sz w:val="14"/>
                  <w:szCs w:val="14"/>
                </w:rPr>
                <w:t>6,1 Mrd. EUR den Aktionären zurechenbarer Nettogewinn</w:t>
              </w:r>
            </w:hyperlink>
            <w:r>
              <w:rPr>
                <w:sz w:val="14"/>
              </w:rPr>
              <w:t>.</w:t>
            </w:r>
          </w:p>
        </w:tc>
        <w:tc>
          <w:tcPr>
            <w:tcW w:type="dxa" w:w="2438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sz w:val="15"/>
              </w:rPr>
              <w:t>Kostenquote, Kreditrisikovorsorge und Qualität des Ertragswachstums</w:t>
            </w:r>
          </w:p>
        </w:tc>
      </w:tr>
      <w:tr>
        <w:tc>
          <w:tcPr>
            <w:tcW w:type="dxa" w:w="170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shd w:fill="F1F5F9"/>
          </w:tcPr>
          <w:p>
            <w:pPr>
              <w:spacing w:after="0"/>
            </w:pPr>
            <w:r>
              <w:rPr>
                <w:b/>
                <w:sz w:val="15"/>
              </w:rPr>
              <w:t>BASF</w:t>
            </w:r>
          </w:p>
        </w:tc>
        <w:tc>
          <w:tcPr>
            <w:tcW w:type="dxa" w:w="187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shd w:fill="F1F5F9"/>
          </w:tcPr>
          <w:p>
            <w:pPr>
              <w:spacing w:after="0"/>
            </w:pPr>
            <w:r>
              <w:rPr>
                <w:sz w:val="15"/>
              </w:rPr>
              <w:t>Gemischt</w:t>
            </w:r>
          </w:p>
        </w:tc>
        <w:tc>
          <w:tcPr>
            <w:tcW w:type="dxa" w:w="3005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shd w:fill="F1F5F9"/>
          </w:tcPr>
          <w:p>
            <w:pPr>
              <w:spacing w:after="0"/>
            </w:pPr>
            <w:hyperlink r:id="rId12" w:history="1">
              <w:r>
                <w:rPr>
                  <w:color w:val="2563EB"/>
                  <w:u w:val="single"/>
                  <w:sz w:val="14"/>
                  <w:szCs w:val="14"/>
                </w:rPr>
                <w:t>FY 2025</w:t>
              </w:r>
            </w:hyperlink>
            <w:r>
              <w:rPr>
                <w:sz w:val="14"/>
              </w:rPr>
              <w:t xml:space="preserve">: </w:t>
            </w:r>
            <w:hyperlink r:id="rId12" w:history="1">
              <w:r>
                <w:rPr>
                  <w:color w:val="2563EB"/>
                  <w:u w:val="single"/>
                  <w:sz w:val="14"/>
                  <w:szCs w:val="14"/>
                </w:rPr>
                <w:t>59,657 Mrd. EUR Umsatz</w:t>
              </w:r>
            </w:hyperlink>
            <w:r>
              <w:rPr>
                <w:sz w:val="14"/>
              </w:rPr>
              <w:t xml:space="preserve">, </w:t>
            </w:r>
            <w:hyperlink r:id="rId12" w:history="1">
              <w:r>
                <w:rPr>
                  <w:color w:val="2563EB"/>
                  <w:u w:val="single"/>
                  <w:sz w:val="14"/>
                  <w:szCs w:val="14"/>
                </w:rPr>
                <w:t>5,618 Mrd. EUR EBITDA</w:t>
              </w:r>
            </w:hyperlink>
            <w:r>
              <w:rPr>
                <w:sz w:val="14"/>
              </w:rPr>
              <w:t xml:space="preserve"> und </w:t>
            </w:r>
            <w:hyperlink r:id="rId12" w:history="1">
              <w:r>
                <w:rPr>
                  <w:color w:val="2563EB"/>
                  <w:u w:val="single"/>
                  <w:sz w:val="14"/>
                  <w:szCs w:val="14"/>
                </w:rPr>
                <w:t>1,342 Mrd. EUR freier Cashflow</w:t>
              </w:r>
            </w:hyperlink>
            <w:r>
              <w:rPr>
                <w:sz w:val="14"/>
              </w:rPr>
              <w:t>.</w:t>
            </w:r>
          </w:p>
        </w:tc>
        <w:tc>
          <w:tcPr>
            <w:tcW w:type="dxa" w:w="2438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shd w:fill="F1F5F9"/>
          </w:tcPr>
          <w:p>
            <w:pPr>
              <w:spacing w:after="0"/>
            </w:pPr>
            <w:r>
              <w:rPr>
                <w:sz w:val="15"/>
              </w:rPr>
              <w:t>Working Capital, freier Cashflow und wiederkehrende Ergebnisqualität</w:t>
            </w:r>
          </w:p>
        </w:tc>
      </w:tr>
      <w:tr>
        <w:tc>
          <w:tcPr>
            <w:tcW w:type="dxa" w:w="170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sz w:val="15"/>
              </w:rPr>
              <w:t>Adidas</w:t>
            </w:r>
          </w:p>
        </w:tc>
        <w:tc>
          <w:tcPr>
            <w:tcW w:type="dxa" w:w="187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sz w:val="15"/>
              </w:rPr>
              <w:t>Stark</w:t>
            </w:r>
          </w:p>
        </w:tc>
        <w:tc>
          <w:tcPr>
            <w:tcW w:type="dxa" w:w="3005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hyperlink r:id="rId13" w:history="1">
              <w:r>
                <w:rPr>
                  <w:color w:val="2563EB"/>
                  <w:u w:val="single"/>
                  <w:sz w:val="14"/>
                  <w:szCs w:val="14"/>
                </w:rPr>
                <w:t>FY 2025</w:t>
              </w:r>
            </w:hyperlink>
            <w:r>
              <w:rPr>
                <w:sz w:val="14"/>
              </w:rPr>
              <w:t xml:space="preserve">: </w:t>
            </w:r>
            <w:hyperlink r:id="rId13" w:history="1">
              <w:r>
                <w:rPr>
                  <w:color w:val="2563EB"/>
                  <w:u w:val="single"/>
                  <w:sz w:val="14"/>
                  <w:szCs w:val="14"/>
                </w:rPr>
                <w:t>24,811 Mrd. EUR Umsatz</w:t>
              </w:r>
            </w:hyperlink>
            <w:r>
              <w:rPr>
                <w:sz w:val="14"/>
              </w:rPr>
              <w:t xml:space="preserve"> und </w:t>
            </w:r>
            <w:hyperlink r:id="rId13" w:history="1">
              <w:r>
                <w:rPr>
                  <w:color w:val="2563EB"/>
                  <w:u w:val="single"/>
                  <w:sz w:val="14"/>
                  <w:szCs w:val="14"/>
                </w:rPr>
                <w:t>1,340 Mrd. EUR den Anteilseignern zurechenbarer Nettogewinn</w:t>
              </w:r>
            </w:hyperlink>
            <w:r>
              <w:rPr>
                <w:sz w:val="14"/>
              </w:rPr>
              <w:t>.</w:t>
            </w:r>
          </w:p>
        </w:tc>
        <w:tc>
          <w:tcPr>
            <w:tcW w:type="dxa" w:w="2438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sz w:val="15"/>
              </w:rPr>
              <w:t>Margenumsetzung, Working Capital und Nachhaltigkeit des Markenmomentums</w:t>
            </w:r>
          </w:p>
        </w:tc>
      </w:tr>
      <w:tr>
        <w:tc>
          <w:tcPr>
            <w:tcW w:type="dxa" w:w="170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shd w:fill="F1F5F9"/>
          </w:tcPr>
          <w:p>
            <w:pPr>
              <w:spacing w:after="0"/>
            </w:pPr>
            <w:r>
              <w:rPr>
                <w:b/>
                <w:sz w:val="15"/>
              </w:rPr>
              <w:t>Airbus</w:t>
            </w:r>
          </w:p>
        </w:tc>
        <w:tc>
          <w:tcPr>
            <w:tcW w:type="dxa" w:w="187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shd w:fill="F1F5F9"/>
          </w:tcPr>
          <w:p>
            <w:pPr>
              <w:spacing w:after="0"/>
            </w:pPr>
            <w:r>
              <w:rPr>
                <w:sz w:val="15"/>
              </w:rPr>
              <w:t>Positiv mit Ausführungsrisiko</w:t>
            </w:r>
          </w:p>
        </w:tc>
        <w:tc>
          <w:tcPr>
            <w:tcW w:type="dxa" w:w="3005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shd w:fill="F1F5F9"/>
          </w:tcPr>
          <w:p>
            <w:pPr>
              <w:spacing w:after="0"/>
            </w:pPr>
            <w:hyperlink r:id="rId14" w:history="1">
              <w:r>
                <w:rPr>
                  <w:color w:val="2563EB"/>
                  <w:u w:val="single"/>
                  <w:sz w:val="14"/>
                  <w:szCs w:val="14"/>
                </w:rPr>
                <w:t>FY 2025</w:t>
              </w:r>
            </w:hyperlink>
            <w:r>
              <w:rPr>
                <w:sz w:val="14"/>
              </w:rPr>
              <w:t xml:space="preserve">: </w:t>
            </w:r>
            <w:hyperlink r:id="rId14" w:history="1">
              <w:r>
                <w:rPr>
                  <w:color w:val="2563EB"/>
                  <w:u w:val="single"/>
                  <w:sz w:val="14"/>
                  <w:szCs w:val="14"/>
                </w:rPr>
                <w:t>73,420 Mrd. EUR Umsatz</w:t>
              </w:r>
            </w:hyperlink>
            <w:r>
              <w:rPr>
                <w:sz w:val="14"/>
              </w:rPr>
              <w:t xml:space="preserve">, </w:t>
            </w:r>
            <w:hyperlink r:id="rId14" w:history="1">
              <w:r>
                <w:rPr>
                  <w:color w:val="2563EB"/>
                  <w:u w:val="single"/>
                  <w:sz w:val="14"/>
                  <w:szCs w:val="14"/>
                </w:rPr>
                <w:t>7,128 Mrd. EUR bereinigtes EBIT</w:t>
              </w:r>
            </w:hyperlink>
            <w:r>
              <w:rPr>
                <w:sz w:val="14"/>
              </w:rPr>
              <w:t xml:space="preserve"> und </w:t>
            </w:r>
            <w:hyperlink r:id="rId14" w:history="1">
              <w:r>
                <w:rPr>
                  <w:color w:val="2563EB"/>
                  <w:u w:val="single"/>
                  <w:sz w:val="14"/>
                  <w:szCs w:val="14"/>
                </w:rPr>
                <w:t>4,574 Mrd. EUR freier Cashflow vor Kundenfinanzierung</w:t>
              </w:r>
            </w:hyperlink>
            <w:r>
              <w:rPr>
                <w:sz w:val="14"/>
              </w:rPr>
              <w:t>.</w:t>
            </w:r>
          </w:p>
        </w:tc>
        <w:tc>
          <w:tcPr>
            <w:tcW w:type="dxa" w:w="2438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shd w:fill="F1F5F9"/>
          </w:tcPr>
          <w:p>
            <w:pPr>
              <w:spacing w:after="0"/>
            </w:pPr>
            <w:r>
              <w:rPr>
                <w:sz w:val="15"/>
              </w:rPr>
              <w:t>Auslieferungstempo, Lieferkette und Working-Capital-Abbau</w:t>
            </w:r>
          </w:p>
        </w:tc>
      </w:tr>
      <w:tr>
        <w:tc>
          <w:tcPr>
            <w:tcW w:type="dxa" w:w="170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sz w:val="15"/>
              </w:rPr>
              <w:t>Siemens Healthineers</w:t>
            </w:r>
          </w:p>
        </w:tc>
        <w:tc>
          <w:tcPr>
            <w:tcW w:type="dxa" w:w="187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sz w:val="15"/>
              </w:rPr>
              <w:t>Gemischt</w:t>
            </w:r>
          </w:p>
        </w:tc>
        <w:tc>
          <w:tcPr>
            <w:tcW w:type="dxa" w:w="3005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hyperlink r:id="rId15" w:history="1">
              <w:r>
                <w:rPr>
                  <w:color w:val="2563EB"/>
                  <w:u w:val="single"/>
                  <w:sz w:val="14"/>
                  <w:szCs w:val="14"/>
                </w:rPr>
                <w:t>FY 2025</w:t>
              </w:r>
            </w:hyperlink>
            <w:r>
              <w:rPr>
                <w:sz w:val="14"/>
              </w:rPr>
              <w:t xml:space="preserve">: </w:t>
            </w:r>
            <w:hyperlink r:id="rId15" w:history="1">
              <w:r>
                <w:rPr>
                  <w:color w:val="2563EB"/>
                  <w:u w:val="single"/>
                  <w:sz w:val="14"/>
                  <w:szCs w:val="14"/>
                </w:rPr>
                <w:t>23,375 Mrd. EUR Umsatz</w:t>
              </w:r>
            </w:hyperlink>
            <w:r>
              <w:rPr>
                <w:sz w:val="14"/>
              </w:rPr>
              <w:t xml:space="preserve">, </w:t>
            </w:r>
            <w:hyperlink r:id="rId15" w:history="1">
              <w:r>
                <w:rPr>
                  <w:color w:val="2563EB"/>
                  <w:u w:val="single"/>
                  <w:sz w:val="14"/>
                  <w:szCs w:val="14"/>
                </w:rPr>
                <w:t>2,714 Mrd. EUR freier Cashflow</w:t>
              </w:r>
            </w:hyperlink>
            <w:r>
              <w:rPr>
                <w:sz w:val="14"/>
              </w:rPr>
              <w:t xml:space="preserve"> und </w:t>
            </w:r>
            <w:hyperlink r:id="rId15" w:history="1">
              <w:r>
                <w:rPr>
                  <w:color w:val="2563EB"/>
                  <w:u w:val="single"/>
                  <w:sz w:val="14"/>
                  <w:szCs w:val="14"/>
                </w:rPr>
                <w:t>12,472 Mrd. EUR Nettoverschuldung inklusive Pensionen</w:t>
              </w:r>
            </w:hyperlink>
            <w:r>
              <w:rPr>
                <w:sz w:val="14"/>
              </w:rPr>
              <w:t>.</w:t>
            </w:r>
          </w:p>
        </w:tc>
        <w:tc>
          <w:tcPr>
            <w:tcW w:type="dxa" w:w="2438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sz w:val="15"/>
              </w:rPr>
              <w:t>Diagnostics, organische Ergebnisqualität und Verschuldungsabbau</w:t>
            </w:r>
          </w:p>
        </w:tc>
      </w:tr>
      <w:tr>
        <w:tc>
          <w:tcPr>
            <w:tcW w:type="dxa" w:w="170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shd w:fill="F1F5F9"/>
          </w:tcPr>
          <w:p>
            <w:pPr>
              <w:spacing w:after="0"/>
            </w:pPr>
            <w:r>
              <w:rPr>
                <w:b/>
                <w:sz w:val="15"/>
              </w:rPr>
              <w:t>Heidelberg Materials</w:t>
            </w:r>
          </w:p>
        </w:tc>
        <w:tc>
          <w:tcPr>
            <w:tcW w:type="dxa" w:w="187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shd w:fill="F1F5F9"/>
          </w:tcPr>
          <w:p>
            <w:pPr>
              <w:spacing w:after="0"/>
            </w:pPr>
            <w:r>
              <w:rPr>
                <w:sz w:val="15"/>
              </w:rPr>
              <w:t>Solide mit Margendruck</w:t>
            </w:r>
          </w:p>
        </w:tc>
        <w:tc>
          <w:tcPr>
            <w:tcW w:type="dxa" w:w="3005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shd w:fill="F1F5F9"/>
          </w:tcPr>
          <w:p>
            <w:pPr>
              <w:spacing w:after="0"/>
            </w:pPr>
            <w:hyperlink r:id="rId16" w:history="1">
              <w:r>
                <w:rPr>
                  <w:color w:val="2563EB"/>
                  <w:u w:val="single"/>
                  <w:sz w:val="14"/>
                  <w:szCs w:val="14"/>
                </w:rPr>
                <w:t>FY 2025</w:t>
              </w:r>
            </w:hyperlink>
            <w:r>
              <w:rPr>
                <w:sz w:val="14"/>
              </w:rPr>
              <w:t xml:space="preserve">: </w:t>
            </w:r>
            <w:hyperlink r:id="rId16" w:history="1">
              <w:r>
                <w:rPr>
                  <w:color w:val="2563EB"/>
                  <w:u w:val="single"/>
                  <w:sz w:val="14"/>
                  <w:szCs w:val="14"/>
                </w:rPr>
                <w:t>21,460 Mrd. EUR Umsatz</w:t>
              </w:r>
            </w:hyperlink>
            <w:r>
              <w:rPr>
                <w:sz w:val="14"/>
              </w:rPr>
              <w:t xml:space="preserve">, </w:t>
            </w:r>
            <w:hyperlink r:id="rId16" w:history="1">
              <w:r>
                <w:rPr>
                  <w:color w:val="2563EB"/>
                  <w:u w:val="single"/>
                  <w:sz w:val="14"/>
                  <w:szCs w:val="14"/>
                </w:rPr>
                <w:t>4,679 Mrd. EUR RCOBD</w:t>
              </w:r>
            </w:hyperlink>
            <w:r>
              <w:rPr>
                <w:sz w:val="14"/>
              </w:rPr>
              <w:t xml:space="preserve"> und </w:t>
            </w:r>
            <w:hyperlink r:id="rId16" w:history="1">
              <w:r>
                <w:rPr>
                  <w:color w:val="2563EB"/>
                  <w:u w:val="single"/>
                  <w:sz w:val="14"/>
                  <w:szCs w:val="14"/>
                </w:rPr>
                <w:t>2,163 Mrd. EUR bereinigter freier Cashflow</w:t>
              </w:r>
            </w:hyperlink>
            <w:r>
              <w:rPr>
                <w:sz w:val="14"/>
              </w:rPr>
              <w:t>.</w:t>
            </w:r>
          </w:p>
        </w:tc>
        <w:tc>
          <w:tcPr>
            <w:tcW w:type="dxa" w:w="2438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  <w:shd w:fill="F1F5F9"/>
          </w:tcPr>
          <w:p>
            <w:pPr>
              <w:spacing w:after="0"/>
            </w:pPr>
            <w:r>
              <w:rPr>
                <w:sz w:val="15"/>
              </w:rPr>
              <w:t>Preisdurchsetzung, Kosteneinsparungen und operative Marge</w:t>
            </w:r>
          </w:p>
        </w:tc>
      </w:tr>
      <w:tr>
        <w:tc>
          <w:tcPr>
            <w:tcW w:type="dxa" w:w="170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sz w:val="15"/>
              </w:rPr>
              <w:t>Symrise</w:t>
            </w:r>
          </w:p>
        </w:tc>
        <w:tc>
          <w:tcPr>
            <w:tcW w:type="dxa" w:w="1871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sz w:val="15"/>
              </w:rPr>
              <w:t>Solide</w:t>
            </w:r>
          </w:p>
        </w:tc>
        <w:tc>
          <w:tcPr>
            <w:tcW w:type="dxa" w:w="3005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hyperlink r:id="rId17" w:history="1">
              <w:r>
                <w:rPr>
                  <w:color w:val="2563EB"/>
                  <w:u w:val="single"/>
                  <w:sz w:val="14"/>
                  <w:szCs w:val="14"/>
                </w:rPr>
                <w:t>FY 2025</w:t>
              </w:r>
            </w:hyperlink>
            <w:r>
              <w:rPr>
                <w:sz w:val="14"/>
              </w:rPr>
              <w:t xml:space="preserve">: </w:t>
            </w:r>
            <w:hyperlink r:id="rId17" w:history="1">
              <w:r>
                <w:rPr>
                  <w:color w:val="2563EB"/>
                  <w:u w:val="single"/>
                  <w:sz w:val="14"/>
                  <w:szCs w:val="14"/>
                </w:rPr>
                <w:t>4,929 Mrd. EUR Umsatz</w:t>
              </w:r>
            </w:hyperlink>
            <w:r>
              <w:rPr>
                <w:sz w:val="14"/>
              </w:rPr>
              <w:t xml:space="preserve">, </w:t>
            </w:r>
            <w:hyperlink r:id="rId17" w:history="1">
              <w:r>
                <w:rPr>
                  <w:color w:val="2563EB"/>
                  <w:u w:val="single"/>
                  <w:sz w:val="14"/>
                  <w:szCs w:val="14"/>
                </w:rPr>
                <w:t>21,9 % EBITDA-Marge</w:t>
              </w:r>
            </w:hyperlink>
            <w:r>
              <w:rPr>
                <w:sz w:val="14"/>
              </w:rPr>
              <w:t xml:space="preserve"> und </w:t>
            </w:r>
            <w:hyperlink r:id="rId17" w:history="1">
              <w:r>
                <w:rPr>
                  <w:color w:val="2563EB"/>
                  <w:u w:val="single"/>
                  <w:sz w:val="14"/>
                  <w:szCs w:val="14"/>
                </w:rPr>
                <w:t>780 Mio. EUR Business Free Cashflow</w:t>
              </w:r>
            </w:hyperlink>
            <w:r>
              <w:rPr>
                <w:sz w:val="14"/>
              </w:rPr>
              <w:t>.</w:t>
            </w:r>
          </w:p>
        </w:tc>
        <w:tc>
          <w:tcPr>
            <w:tcW w:type="dxa" w:w="2438"/>
            <w:vAlign w:val="top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sz w:val="15"/>
              </w:rPr>
              <w:t>Segmentdivergenz, Transformation und Cashflow-Konversion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Unternehmenssignale der Woche</w:t>
      </w:r>
    </w:p>
    <w:p>
      <w:r>
        <w:t>Jede Einordnung folgt demselben Muster: aktuelle Meldung, verifizierter Fundamentalanker, analytische Einordnung, Beobachtungspunkt und zwei getrennte Primärquellen.</w:t>
      </w:r>
    </w:p>
    <w:p>
      <w:pPr>
        <w:pStyle w:val="Heading2"/>
        <w:keepNext/>
      </w:pPr>
      <w:r>
        <w:t>Deutsche Bank – Stark</w:t>
      </w:r>
    </w:p>
    <w:p>
      <w:pPr>
        <w:spacing w:after="80"/>
      </w:pPr>
      <w:r>
        <w:rPr>
          <w:b/>
          <w:color w:val="111827"/>
        </w:rPr>
        <w:t xml:space="preserve">Aktuelles Signal: </w:t>
      </w:r>
      <w:hyperlink r:id="rId18" w:history="1">
        <w:r>
          <w:rPr>
            <w:color w:val="2563EB"/>
            <w:u w:val="single"/>
          </w:rPr>
          <w:t>Q2 2026</w:t>
        </w:r>
      </w:hyperlink>
      <w:r>
        <w:t xml:space="preserve">: Nachsteuergewinn </w:t>
      </w:r>
      <w:hyperlink r:id="rId18" w:history="1">
        <w:r>
          <w:rPr>
            <w:color w:val="2563EB"/>
            <w:u w:val="single"/>
          </w:rPr>
          <w:t>1,9 Mrd. EUR</w:t>
        </w:r>
      </w:hyperlink>
      <w:r>
        <w:t xml:space="preserve">, Nettoerträge </w:t>
      </w:r>
      <w:hyperlink r:id="rId18" w:history="1">
        <w:r>
          <w:rPr>
            <w:color w:val="2563EB"/>
            <w:u w:val="single"/>
          </w:rPr>
          <w:t>+9 % auf 8,5 Mrd. EUR</w:t>
        </w:r>
      </w:hyperlink>
      <w:r>
        <w:t xml:space="preserve">, RoTE </w:t>
      </w:r>
      <w:hyperlink r:id="rId18" w:history="1">
        <w:r>
          <w:rPr>
            <w:color w:val="2563EB"/>
            <w:u w:val="single"/>
          </w:rPr>
          <w:t>11,0 %</w:t>
        </w:r>
      </w:hyperlink>
      <w:r>
        <w:t xml:space="preserve"> und ein neues Aktienrückkaufprogramm über </w:t>
      </w:r>
      <w:hyperlink r:id="rId18" w:history="1">
        <w:r>
          <w:rPr>
            <w:color w:val="2563EB"/>
            <w:u w:val="single"/>
          </w:rPr>
          <w:t>500 Mio. EUR</w:t>
        </w:r>
      </w:hyperlink>
      <w:r>
        <w:t>.</w:t>
      </w:r>
    </w:p>
    <w:p>
      <w:pPr>
        <w:spacing w:after="80"/>
      </w:pPr>
      <w:r>
        <w:rPr>
          <w:b/>
          <w:color w:val="111827"/>
        </w:rPr>
        <w:t xml:space="preserve">Fundamentalanker: </w:t>
      </w:r>
      <w:hyperlink r:id="rId11" w:history="1">
        <w:r>
          <w:rPr>
            <w:color w:val="2563EB"/>
            <w:u w:val="single"/>
          </w:rPr>
          <w:t>FY 2025</w:t>
        </w:r>
      </w:hyperlink>
      <w:r>
        <w:t xml:space="preserve">: </w:t>
      </w:r>
      <w:hyperlink r:id="rId11" w:history="1">
        <w:r>
          <w:rPr>
            <w:color w:val="2563EB"/>
            <w:u w:val="single"/>
          </w:rPr>
          <w:t>32,1 Mrd. EUR Erträge</w:t>
        </w:r>
      </w:hyperlink>
      <w:r>
        <w:t xml:space="preserve"> und </w:t>
      </w:r>
      <w:hyperlink r:id="rId11" w:history="1">
        <w:r>
          <w:rPr>
            <w:color w:val="2563EB"/>
            <w:u w:val="single"/>
          </w:rPr>
          <w:t>6,1 Mrd. EUR den Aktionären zurechenbarer Nettogewinn</w:t>
        </w:r>
      </w:hyperlink>
      <w:r>
        <w:t>.</w:t>
      </w:r>
    </w:p>
    <w:p>
      <w:pPr>
        <w:spacing w:after="80"/>
      </w:pPr>
      <w:r>
        <w:rPr>
          <w:b/>
          <w:color w:val="111827"/>
        </w:rPr>
        <w:t xml:space="preserve">FI-Einordnung: </w:t>
      </w:r>
      <w:r>
        <w:t>Das Quartal bestätigt, dass der Gewinnanstieg nicht ausschließlich aus Kostensenkungen kommt. Die Kombination aus Wachstum, Rendite und Kapitalrückführung zählt zu den stärksten Signalen der Woche.</w:t>
      </w:r>
    </w:p>
    <w:p>
      <w:pPr>
        <w:spacing w:after="80"/>
      </w:pPr>
      <w:r>
        <w:rPr>
          <w:b/>
          <w:color w:val="111827"/>
        </w:rPr>
        <w:t xml:space="preserve">Watch: </w:t>
      </w:r>
      <w:r>
        <w:t>Kostenquote, Kreditrisikovorsorge und Qualität des Ertragswachstums</w:t>
      </w:r>
    </w:p>
    <w:p>
      <w:pPr>
        <w:spacing w:after="60"/>
      </w:pPr>
      <w:r>
        <w:rPr>
          <w:b/>
          <w:sz w:val="16"/>
        </w:rPr>
        <w:t xml:space="preserve">Wochenquelle: </w:t>
      </w:r>
      <w:hyperlink r:id="rId18" w:history="1">
        <w:r>
          <w:rPr>
            <w:color w:val="2563EB"/>
            <w:u w:val="single"/>
            <w:sz w:val="16"/>
            <w:szCs w:val="16"/>
          </w:rPr>
          <w:t>Q2-Ergebnismeldung · 29. Juli 2026 · Highlights und Group results at a glance</w:t>
        </w:r>
      </w:hyperlink>
    </w:p>
    <w:p>
      <w:pPr>
        <w:spacing w:after="60"/>
      </w:pPr>
      <w:r>
        <w:rPr>
          <w:b/>
          <w:sz w:val="16"/>
        </w:rPr>
        <w:t xml:space="preserve">Fundamentalquelle: </w:t>
      </w:r>
      <w:hyperlink r:id="rId11" w:history="1">
        <w:r>
          <w:rPr>
            <w:color w:val="2563EB"/>
            <w:u w:val="single"/>
            <w:sz w:val="16"/>
            <w:szCs w:val="16"/>
          </w:rPr>
          <w:t>Geschäftsbericht 2025 · 12. März 2026 · Kennzahlenübersicht, Berichtsseite 1</w:t>
        </w:r>
      </w:hyperlink>
    </w:p>
    <w:p>
      <w:pPr>
        <w:pStyle w:val="Heading2"/>
        <w:keepNext/>
      </w:pPr>
      <w:r>
        <w:t>BASF – Gemischt</w:t>
      </w:r>
    </w:p>
    <w:p>
      <w:pPr>
        <w:spacing w:after="80"/>
      </w:pPr>
      <w:r>
        <w:rPr>
          <w:b/>
          <w:color w:val="111827"/>
        </w:rPr>
        <w:t xml:space="preserve">Aktuelles Signal: </w:t>
      </w:r>
      <w:hyperlink r:id="rId19" w:history="1">
        <w:r>
          <w:rPr>
            <w:color w:val="2563EB"/>
            <w:u w:val="single"/>
          </w:rPr>
          <w:t>Q2 2026</w:t>
        </w:r>
      </w:hyperlink>
      <w:r>
        <w:t xml:space="preserve">: Umsatz </w:t>
      </w:r>
      <w:hyperlink r:id="rId19" w:history="1">
        <w:r>
          <w:rPr>
            <w:color w:val="2563EB"/>
            <w:u w:val="single"/>
          </w:rPr>
          <w:t>17,2 Mrd. EUR</w:t>
        </w:r>
      </w:hyperlink>
      <w:r>
        <w:t xml:space="preserve">, EBITDA vor Sondereinflüssen </w:t>
      </w:r>
      <w:hyperlink r:id="rId19" w:history="1">
        <w:r>
          <w:rPr>
            <w:color w:val="2563EB"/>
            <w:u w:val="single"/>
          </w:rPr>
          <w:t>2,4 Mrd. EUR</w:t>
        </w:r>
      </w:hyperlink>
      <w:r>
        <w:t xml:space="preserve"> und Nettogewinn </w:t>
      </w:r>
      <w:hyperlink r:id="rId19" w:history="1">
        <w:r>
          <w:rPr>
            <w:color w:val="2563EB"/>
            <w:u w:val="single"/>
          </w:rPr>
          <w:t>4,1 Mrd. EUR</w:t>
        </w:r>
      </w:hyperlink>
      <w:r>
        <w:t xml:space="preserve">. Darin enthalten ist ein Veräußerungsgewinn nach Steuern von </w:t>
      </w:r>
      <w:hyperlink r:id="rId19" w:history="1">
        <w:r>
          <w:rPr>
            <w:color w:val="2563EB"/>
            <w:u w:val="single"/>
          </w:rPr>
          <w:t>3,5 Mrd. EUR</w:t>
        </w:r>
      </w:hyperlink>
      <w:r>
        <w:t xml:space="preserve">; der freie Cashflow lag bei </w:t>
      </w:r>
      <w:hyperlink r:id="rId19" w:history="1">
        <w:r>
          <w:rPr>
            <w:color w:val="2563EB"/>
            <w:u w:val="single"/>
          </w:rPr>
          <w:t>–189 Mio. EUR</w:t>
        </w:r>
      </w:hyperlink>
      <w:r>
        <w:t>.</w:t>
      </w:r>
    </w:p>
    <w:p>
      <w:pPr>
        <w:spacing w:after="80"/>
      </w:pPr>
      <w:r>
        <w:rPr>
          <w:b/>
          <w:color w:val="111827"/>
        </w:rPr>
        <w:t xml:space="preserve">Fundamentalanker: </w:t>
      </w:r>
      <w:hyperlink r:id="rId12" w:history="1">
        <w:r>
          <w:rPr>
            <w:color w:val="2563EB"/>
            <w:u w:val="single"/>
          </w:rPr>
          <w:t>FY 2025</w:t>
        </w:r>
      </w:hyperlink>
      <w:r>
        <w:t xml:space="preserve">: </w:t>
      </w:r>
      <w:hyperlink r:id="rId12" w:history="1">
        <w:r>
          <w:rPr>
            <w:color w:val="2563EB"/>
            <w:u w:val="single"/>
          </w:rPr>
          <w:t>59,657 Mrd. EUR Umsatz</w:t>
        </w:r>
      </w:hyperlink>
      <w:r>
        <w:t xml:space="preserve">, </w:t>
      </w:r>
      <w:hyperlink r:id="rId12" w:history="1">
        <w:r>
          <w:rPr>
            <w:color w:val="2563EB"/>
            <w:u w:val="single"/>
          </w:rPr>
          <w:t>5,618 Mrd. EUR EBITDA</w:t>
        </w:r>
      </w:hyperlink>
      <w:r>
        <w:t xml:space="preserve"> und </w:t>
      </w:r>
      <w:hyperlink r:id="rId12" w:history="1">
        <w:r>
          <w:rPr>
            <w:color w:val="2563EB"/>
            <w:u w:val="single"/>
          </w:rPr>
          <w:t>1,342 Mrd. EUR freier Cashflow</w:t>
        </w:r>
      </w:hyperlink>
      <w:r>
        <w:t>.</w:t>
      </w:r>
    </w:p>
    <w:p>
      <w:pPr>
        <w:spacing w:after="80"/>
      </w:pPr>
      <w:r>
        <w:rPr>
          <w:b/>
          <w:color w:val="111827"/>
        </w:rPr>
        <w:t xml:space="preserve">FI-Einordnung: </w:t>
      </w:r>
      <w:r>
        <w:t>Die operative Richtung stimmt, die Qualität des ausgewiesenen Nettogewinns ist wegen des Veräußerungseffekts aber begrenzt. Working Capital und freier Cashflow bleiben die bessere Belastungsprobe.</w:t>
      </w:r>
    </w:p>
    <w:p>
      <w:pPr>
        <w:spacing w:after="80"/>
      </w:pPr>
      <w:r>
        <w:rPr>
          <w:b/>
          <w:color w:val="111827"/>
        </w:rPr>
        <w:t xml:space="preserve">Watch: </w:t>
      </w:r>
      <w:r>
        <w:t>Working Capital, freier Cashflow und wiederkehrende Ergebnisqualität</w:t>
      </w:r>
    </w:p>
    <w:p>
      <w:pPr>
        <w:spacing w:after="60"/>
      </w:pPr>
      <w:r>
        <w:rPr>
          <w:b/>
          <w:sz w:val="16"/>
        </w:rPr>
        <w:t xml:space="preserve">Wochenquelle: </w:t>
      </w:r>
      <w:hyperlink r:id="rId19" w:history="1">
        <w:r>
          <w:rPr>
            <w:color w:val="2563EB"/>
            <w:u w:val="single"/>
            <w:sz w:val="16"/>
            <w:szCs w:val="16"/>
          </w:rPr>
          <w:t>Q2-Ergebnismeldung · 29. Juli 2026 · Business development in second quarter 2026</w:t>
        </w:r>
      </w:hyperlink>
    </w:p>
    <w:p>
      <w:pPr>
        <w:spacing w:after="60"/>
      </w:pPr>
      <w:r>
        <w:rPr>
          <w:b/>
          <w:sz w:val="16"/>
        </w:rPr>
        <w:t xml:space="preserve">Fundamentalquelle: </w:t>
      </w:r>
      <w:hyperlink r:id="rId12" w:history="1">
        <w:r>
          <w:rPr>
            <w:color w:val="2563EB"/>
            <w:u w:val="single"/>
            <w:sz w:val="16"/>
            <w:szCs w:val="16"/>
          </w:rPr>
          <w:t>BASF Report 2025 · 27. Februar 2026 · Ten-Year Summary, Spalte 2025</w:t>
        </w:r>
      </w:hyperlink>
    </w:p>
    <w:p>
      <w:pPr>
        <w:pStyle w:val="Heading2"/>
        <w:keepNext/>
      </w:pPr>
      <w:r>
        <w:t>Adidas – Stark</w:t>
      </w:r>
    </w:p>
    <w:p>
      <w:pPr>
        <w:spacing w:after="80"/>
      </w:pPr>
      <w:r>
        <w:rPr>
          <w:b/>
          <w:color w:val="111827"/>
        </w:rPr>
        <w:t xml:space="preserve">Aktuelles Signal: </w:t>
      </w:r>
      <w:hyperlink r:id="rId20" w:history="1">
        <w:r>
          <w:rPr>
            <w:color w:val="2563EB"/>
            <w:u w:val="single"/>
          </w:rPr>
          <w:t>Q2 2026</w:t>
        </w:r>
      </w:hyperlink>
      <w:r>
        <w:t xml:space="preserve">: währungsbereinigtes Umsatzwachstum </w:t>
      </w:r>
      <w:hyperlink r:id="rId20" w:history="1">
        <w:r>
          <w:rPr>
            <w:color w:val="2563EB"/>
            <w:u w:val="single"/>
          </w:rPr>
          <w:t>14 %</w:t>
        </w:r>
      </w:hyperlink>
      <w:r>
        <w:t xml:space="preserve">, Rekordumsatz </w:t>
      </w:r>
      <w:hyperlink r:id="rId20" w:history="1">
        <w:r>
          <w:rPr>
            <w:color w:val="2563EB"/>
            <w:u w:val="single"/>
          </w:rPr>
          <w:t>6,743 Mrd. EUR</w:t>
        </w:r>
      </w:hyperlink>
      <w:r>
        <w:t xml:space="preserve"> und operative Marge </w:t>
      </w:r>
      <w:hyperlink r:id="rId20" w:history="1">
        <w:r>
          <w:rPr>
            <w:color w:val="2563EB"/>
            <w:u w:val="single"/>
          </w:rPr>
          <w:t>8,5 %</w:t>
        </w:r>
      </w:hyperlink>
      <w:r>
        <w:t xml:space="preserve">. Die Umsatzprognose wurde auf </w:t>
      </w:r>
      <w:hyperlink r:id="rId20" w:history="1">
        <w:r>
          <w:rPr>
            <w:color w:val="2563EB"/>
            <w:u w:val="single"/>
          </w:rPr>
          <w:t>9 % bis 10 %</w:t>
        </w:r>
      </w:hyperlink>
      <w:r>
        <w:t xml:space="preserve"> angehoben.</w:t>
      </w:r>
    </w:p>
    <w:p>
      <w:pPr>
        <w:spacing w:after="80"/>
      </w:pPr>
      <w:r>
        <w:rPr>
          <w:b/>
          <w:color w:val="111827"/>
        </w:rPr>
        <w:t xml:space="preserve">Fundamentalanker: </w:t>
      </w:r>
      <w:hyperlink r:id="rId13" w:history="1">
        <w:r>
          <w:rPr>
            <w:color w:val="2563EB"/>
            <w:u w:val="single"/>
          </w:rPr>
          <w:t>FY 2025</w:t>
        </w:r>
      </w:hyperlink>
      <w:r>
        <w:t xml:space="preserve">: </w:t>
      </w:r>
      <w:hyperlink r:id="rId13" w:history="1">
        <w:r>
          <w:rPr>
            <w:color w:val="2563EB"/>
            <w:u w:val="single"/>
          </w:rPr>
          <w:t>24,811 Mrd. EUR Umsatz</w:t>
        </w:r>
      </w:hyperlink>
      <w:r>
        <w:t xml:space="preserve"> und </w:t>
      </w:r>
      <w:hyperlink r:id="rId13" w:history="1">
        <w:r>
          <w:rPr>
            <w:color w:val="2563EB"/>
            <w:u w:val="single"/>
          </w:rPr>
          <w:t>1,340 Mrd. EUR den Anteilseignern zurechenbarer Nettogewinn</w:t>
        </w:r>
      </w:hyperlink>
      <w:r>
        <w:t>.</w:t>
      </w:r>
    </w:p>
    <w:p>
      <w:pPr>
        <w:spacing w:after="80"/>
      </w:pPr>
      <w:r>
        <w:rPr>
          <w:b/>
          <w:color w:val="111827"/>
        </w:rPr>
        <w:t xml:space="preserve">FI-Einordnung: </w:t>
      </w:r>
      <w:r>
        <w:t>Der Markenzyklus bleibt intakt. Die entscheidende Frage ist, wie viel des hohen Wachstums nach den erhöhten Marketing- und Aktivierungsausgaben als nachhaltige Ergebnissteigerung verbleibt.</w:t>
      </w:r>
    </w:p>
    <w:p>
      <w:pPr>
        <w:spacing w:after="80"/>
      </w:pPr>
      <w:r>
        <w:rPr>
          <w:b/>
          <w:color w:val="111827"/>
        </w:rPr>
        <w:t xml:space="preserve">Watch: </w:t>
      </w:r>
      <w:r>
        <w:t>Margenumsetzung, Working Capital und Nachhaltigkeit des Markenmomentums</w:t>
      </w:r>
    </w:p>
    <w:p>
      <w:pPr>
        <w:spacing w:after="60"/>
      </w:pPr>
      <w:r>
        <w:rPr>
          <w:b/>
          <w:sz w:val="16"/>
        </w:rPr>
        <w:t xml:space="preserve">Wochenquelle: </w:t>
      </w:r>
      <w:hyperlink r:id="rId20" w:history="1">
        <w:r>
          <w:rPr>
            <w:color w:val="2563EB"/>
            <w:u w:val="single"/>
            <w:sz w:val="16"/>
            <w:szCs w:val="16"/>
          </w:rPr>
          <w:t>Q2-Ergebnismeldung · 30. Juli 2026 · Second-quarter results und Full-year outlook</w:t>
        </w:r>
      </w:hyperlink>
    </w:p>
    <w:p>
      <w:pPr>
        <w:spacing w:after="60"/>
      </w:pPr>
      <w:r>
        <w:rPr>
          <w:b/>
          <w:sz w:val="16"/>
        </w:rPr>
        <w:t xml:space="preserve">Fundamentalquelle: </w:t>
      </w:r>
      <w:hyperlink r:id="rId13" w:history="1">
        <w:r>
          <w:rPr>
            <w:color w:val="2563EB"/>
            <w:u w:val="single"/>
            <w:sz w:val="16"/>
            <w:szCs w:val="16"/>
          </w:rPr>
          <w:t>Annual Report 2025 · 4. März 2026 · Consolidated Income Statement, technischer PDF-Index 311</w:t>
        </w:r>
      </w:hyperlink>
    </w:p>
    <w:p>
      <w:pPr>
        <w:pStyle w:val="Heading2"/>
        <w:keepNext/>
      </w:pPr>
      <w:r>
        <w:t>Airbus – Positiv mit Ausführungsrisiko</w:t>
      </w:r>
    </w:p>
    <w:p>
      <w:pPr>
        <w:spacing w:after="80"/>
      </w:pPr>
      <w:r>
        <w:rPr>
          <w:b/>
          <w:color w:val="111827"/>
        </w:rPr>
        <w:t xml:space="preserve">Aktuelles Signal: </w:t>
      </w:r>
      <w:hyperlink r:id="rId21" w:history="1">
        <w:r>
          <w:rPr>
            <w:color w:val="2563EB"/>
            <w:u w:val="single"/>
          </w:rPr>
          <w:t>H1 2026</w:t>
        </w:r>
      </w:hyperlink>
      <w:r>
        <w:t xml:space="preserve">: Umsatz </w:t>
      </w:r>
      <w:hyperlink r:id="rId21" w:history="1">
        <w:r>
          <w:rPr>
            <w:color w:val="2563EB"/>
            <w:u w:val="single"/>
          </w:rPr>
          <w:t>33,176 Mrd. EUR (+12 %)</w:t>
        </w:r>
      </w:hyperlink>
      <w:r>
        <w:t xml:space="preserve">, bereinigtes EBIT </w:t>
      </w:r>
      <w:hyperlink r:id="rId21" w:history="1">
        <w:r>
          <w:rPr>
            <w:color w:val="2563EB"/>
            <w:u w:val="single"/>
          </w:rPr>
          <w:t>2,727 Mrd. EUR (+24 %)</w:t>
        </w:r>
      </w:hyperlink>
      <w:r>
        <w:t xml:space="preserve">, Nettoaufträge </w:t>
      </w:r>
      <w:hyperlink r:id="rId21" w:history="1">
        <w:r>
          <w:rPr>
            <w:color w:val="2563EB"/>
            <w:u w:val="single"/>
          </w:rPr>
          <w:t>821 Flugzeuge</w:t>
        </w:r>
      </w:hyperlink>
      <w:r>
        <w:t xml:space="preserve"> und freier Cashflow vor Kundenfinanzierung </w:t>
      </w:r>
      <w:hyperlink r:id="rId21" w:history="1">
        <w:r>
          <w:rPr>
            <w:color w:val="2563EB"/>
            <w:u w:val="single"/>
          </w:rPr>
          <w:t>–1,166 Mrd. EUR</w:t>
        </w:r>
      </w:hyperlink>
      <w:r>
        <w:t>.</w:t>
      </w:r>
    </w:p>
    <w:p>
      <w:pPr>
        <w:spacing w:after="80"/>
      </w:pPr>
      <w:r>
        <w:rPr>
          <w:b/>
          <w:color w:val="111827"/>
        </w:rPr>
        <w:t xml:space="preserve">Fundamentalanker: </w:t>
      </w:r>
      <w:hyperlink r:id="rId14" w:history="1">
        <w:r>
          <w:rPr>
            <w:color w:val="2563EB"/>
            <w:u w:val="single"/>
          </w:rPr>
          <w:t>FY 2025</w:t>
        </w:r>
      </w:hyperlink>
      <w:r>
        <w:t xml:space="preserve">: </w:t>
      </w:r>
      <w:hyperlink r:id="rId14" w:history="1">
        <w:r>
          <w:rPr>
            <w:color w:val="2563EB"/>
            <w:u w:val="single"/>
          </w:rPr>
          <w:t>73,420 Mrd. EUR Umsatz</w:t>
        </w:r>
      </w:hyperlink>
      <w:r>
        <w:t xml:space="preserve">, </w:t>
      </w:r>
      <w:hyperlink r:id="rId14" w:history="1">
        <w:r>
          <w:rPr>
            <w:color w:val="2563EB"/>
            <w:u w:val="single"/>
          </w:rPr>
          <w:t>7,128 Mrd. EUR bereinigtes EBIT</w:t>
        </w:r>
      </w:hyperlink>
      <w:r>
        <w:t xml:space="preserve"> und </w:t>
      </w:r>
      <w:hyperlink r:id="rId14" w:history="1">
        <w:r>
          <w:rPr>
            <w:color w:val="2563EB"/>
            <w:u w:val="single"/>
          </w:rPr>
          <w:t>4,574 Mrd. EUR freier Cashflow vor Kundenfinanzierung</w:t>
        </w:r>
      </w:hyperlink>
      <w:r>
        <w:t>.</w:t>
      </w:r>
    </w:p>
    <w:p>
      <w:pPr>
        <w:spacing w:after="80"/>
      </w:pPr>
      <w:r>
        <w:rPr>
          <w:b/>
          <w:color w:val="111827"/>
        </w:rPr>
        <w:t xml:space="preserve">FI-Einordnung: </w:t>
      </w:r>
      <w:r>
        <w:t>Die Nachfrage ist nicht der Engpass. Der Investment Case hängt am Produktionshochlauf, an der Lieferkette, den Auslieferungen und dem geplanten Bestandsabbau im zweiten Halbjahr.</w:t>
      </w:r>
    </w:p>
    <w:p>
      <w:pPr>
        <w:spacing w:after="80"/>
      </w:pPr>
      <w:r>
        <w:rPr>
          <w:b/>
          <w:color w:val="111827"/>
        </w:rPr>
        <w:t xml:space="preserve">Watch: </w:t>
      </w:r>
      <w:r>
        <w:t>Auslieferungstempo, Lieferkette und Working-Capital-Abbau</w:t>
      </w:r>
    </w:p>
    <w:p>
      <w:pPr>
        <w:spacing w:after="60"/>
      </w:pPr>
      <w:r>
        <w:rPr>
          <w:b/>
          <w:sz w:val="16"/>
        </w:rPr>
        <w:t xml:space="preserve">Wochenquelle: </w:t>
      </w:r>
      <w:hyperlink r:id="rId21" w:history="1">
        <w:r>
          <w:rPr>
            <w:color w:val="2563EB"/>
            <w:u w:val="single"/>
            <w:sz w:val="16"/>
            <w:szCs w:val="16"/>
          </w:rPr>
          <w:t>H1-Ergebnismeldung · 29. Juli 2026 · Consolidated Airbus – H1 2026 Results</w:t>
        </w:r>
      </w:hyperlink>
    </w:p>
    <w:p>
      <w:pPr>
        <w:spacing w:after="60"/>
      </w:pPr>
      <w:r>
        <w:rPr>
          <w:b/>
          <w:sz w:val="16"/>
        </w:rPr>
        <w:t xml:space="preserve">Fundamentalquelle: </w:t>
      </w:r>
      <w:hyperlink r:id="rId14" w:history="1">
        <w:r>
          <w:rPr>
            <w:color w:val="2563EB"/>
            <w:u w:val="single"/>
            <w:sz w:val="16"/>
            <w:szCs w:val="16"/>
          </w:rPr>
          <w:t>FY-2025-Ergebnismeldung · 19. Februar 2026 · Consolidated Airbus – FY 2025 Results</w:t>
        </w:r>
      </w:hyperlink>
    </w:p>
    <w:p>
      <w:pPr>
        <w:pStyle w:val="Heading2"/>
        <w:keepNext/>
      </w:pPr>
      <w:r>
        <w:t>Siemens Healthineers – Gemischt</w:t>
      </w:r>
    </w:p>
    <w:p>
      <w:pPr>
        <w:spacing w:after="80"/>
      </w:pPr>
      <w:r>
        <w:rPr>
          <w:b/>
          <w:color w:val="111827"/>
        </w:rPr>
        <w:t xml:space="preserve">Aktuelles Signal: </w:t>
      </w:r>
      <w:hyperlink r:id="rId22" w:history="1">
        <w:r>
          <w:rPr>
            <w:color w:val="2563EB"/>
            <w:u w:val="single"/>
          </w:rPr>
          <w:t>Q3 FY 2026</w:t>
        </w:r>
      </w:hyperlink>
      <w:r>
        <w:t xml:space="preserve">: Equipment Book-to-Bill </w:t>
      </w:r>
      <w:hyperlink r:id="rId22" w:history="1">
        <w:r>
          <w:rPr>
            <w:color w:val="2563EB"/>
            <w:u w:val="single"/>
          </w:rPr>
          <w:t>1,27</w:t>
        </w:r>
      </w:hyperlink>
      <w:r>
        <w:t xml:space="preserve">, vergleichbares Umsatzwachstum </w:t>
      </w:r>
      <w:hyperlink r:id="rId22" w:history="1">
        <w:r>
          <w:rPr>
            <w:color w:val="2563EB"/>
            <w:u w:val="single"/>
          </w:rPr>
          <w:t>2,8 %</w:t>
        </w:r>
      </w:hyperlink>
      <w:r>
        <w:t xml:space="preserve"> und bereinigte EBIT-Marge </w:t>
      </w:r>
      <w:hyperlink r:id="rId22" w:history="1">
        <w:r>
          <w:rPr>
            <w:color w:val="2563EB"/>
            <w:u w:val="single"/>
          </w:rPr>
          <w:t>19,1 %</w:t>
        </w:r>
      </w:hyperlink>
      <w:r>
        <w:t xml:space="preserve">. Diagnostics schrumpfte vergleichbar um </w:t>
      </w:r>
      <w:hyperlink r:id="rId22" w:history="1">
        <w:r>
          <w:rPr>
            <w:color w:val="2563EB"/>
            <w:u w:val="single"/>
          </w:rPr>
          <w:t>5,5 %</w:t>
        </w:r>
      </w:hyperlink>
      <w:r>
        <w:t xml:space="preserve">; der Umsatzkorridor wurde auf </w:t>
      </w:r>
      <w:hyperlink r:id="rId22" w:history="1">
        <w:r>
          <w:rPr>
            <w:color w:val="2563EB"/>
            <w:u w:val="single"/>
          </w:rPr>
          <w:t>3,5 % bis 4,0 %</w:t>
        </w:r>
      </w:hyperlink>
      <w:r>
        <w:t xml:space="preserve"> reduziert.</w:t>
      </w:r>
    </w:p>
    <w:p>
      <w:pPr>
        <w:spacing w:after="80"/>
      </w:pPr>
      <w:r>
        <w:rPr>
          <w:b/>
          <w:color w:val="111827"/>
        </w:rPr>
        <w:t xml:space="preserve">Fundamentalanker: </w:t>
      </w:r>
      <w:hyperlink r:id="rId15" w:history="1">
        <w:r>
          <w:rPr>
            <w:color w:val="2563EB"/>
            <w:u w:val="single"/>
          </w:rPr>
          <w:t>FY 2025</w:t>
        </w:r>
      </w:hyperlink>
      <w:r>
        <w:t xml:space="preserve">: </w:t>
      </w:r>
      <w:hyperlink r:id="rId15" w:history="1">
        <w:r>
          <w:rPr>
            <w:color w:val="2563EB"/>
            <w:u w:val="single"/>
          </w:rPr>
          <w:t>23,375 Mrd. EUR Umsatz</w:t>
        </w:r>
      </w:hyperlink>
      <w:r>
        <w:t xml:space="preserve">, </w:t>
      </w:r>
      <w:hyperlink r:id="rId15" w:history="1">
        <w:r>
          <w:rPr>
            <w:color w:val="2563EB"/>
            <w:u w:val="single"/>
          </w:rPr>
          <w:t>2,714 Mrd. EUR freier Cashflow</w:t>
        </w:r>
      </w:hyperlink>
      <w:r>
        <w:t xml:space="preserve"> und </w:t>
      </w:r>
      <w:hyperlink r:id="rId15" w:history="1">
        <w:r>
          <w:rPr>
            <w:color w:val="2563EB"/>
            <w:u w:val="single"/>
          </w:rPr>
          <w:t>12,472 Mrd. EUR Nettoverschuldung inklusive Pensionen</w:t>
        </w:r>
      </w:hyperlink>
      <w:r>
        <w:t>.</w:t>
      </w:r>
    </w:p>
    <w:p>
      <w:pPr>
        <w:spacing w:after="80"/>
      </w:pPr>
      <w:r>
        <w:rPr>
          <w:b/>
          <w:color w:val="111827"/>
        </w:rPr>
        <w:t xml:space="preserve">FI-Einordnung: </w:t>
      </w:r>
      <w:r>
        <w:t>Auftragseingang und Marge sind positiv. Die gleichzeitige Umsatzsenkung und EPS-Anhebung ist qualitativ schwächer, weil Zollerstattungen den Ergebnisanstieg unterstützen; Diagnostics bleibt der Schwachpunkt.</w:t>
      </w:r>
    </w:p>
    <w:p>
      <w:pPr>
        <w:spacing w:after="80"/>
      </w:pPr>
      <w:r>
        <w:rPr>
          <w:b/>
          <w:color w:val="111827"/>
        </w:rPr>
        <w:t xml:space="preserve">Watch: </w:t>
      </w:r>
      <w:r>
        <w:t>Diagnostics, organische Ergebnisqualität und Verschuldungsabbau</w:t>
      </w:r>
    </w:p>
    <w:p>
      <w:pPr>
        <w:spacing w:after="60"/>
      </w:pPr>
      <w:r>
        <w:rPr>
          <w:b/>
          <w:sz w:val="16"/>
        </w:rPr>
        <w:t xml:space="preserve">Wochenquelle: </w:t>
      </w:r>
      <w:hyperlink r:id="rId22" w:history="1">
        <w:r>
          <w:rPr>
            <w:color w:val="2563EB"/>
            <w:u w:val="single"/>
            <w:sz w:val="16"/>
            <w:szCs w:val="16"/>
          </w:rPr>
          <w:t>Q3-FY2026-Ergebnismeldung · 31. Juli 2026 · Q3 Fiscal Year 2026 und Updated Outlook</w:t>
        </w:r>
      </w:hyperlink>
    </w:p>
    <w:p>
      <w:pPr>
        <w:spacing w:after="60"/>
      </w:pPr>
      <w:r>
        <w:rPr>
          <w:b/>
          <w:sz w:val="16"/>
        </w:rPr>
        <w:t xml:space="preserve">Fundamentalquelle: </w:t>
      </w:r>
      <w:hyperlink r:id="rId15" w:history="1">
        <w:r>
          <w:rPr>
            <w:color w:val="2563EB"/>
            <w:u w:val="single"/>
            <w:sz w:val="16"/>
            <w:szCs w:val="16"/>
          </w:rPr>
          <w:t>Annual Report 2025 · 26. November 2025 · Umsatz S. 15, Nettoverschuldung S. 19, Free Cashflow S. 23</w:t>
        </w:r>
      </w:hyperlink>
    </w:p>
    <w:p>
      <w:pPr>
        <w:pStyle w:val="Heading2"/>
        <w:keepNext/>
      </w:pPr>
      <w:r>
        <w:t>Heidelberg Materials – Solide mit Margendruck</w:t>
      </w:r>
    </w:p>
    <w:p>
      <w:pPr>
        <w:spacing w:after="80"/>
      </w:pPr>
      <w:r>
        <w:rPr>
          <w:b/>
          <w:color w:val="111827"/>
        </w:rPr>
        <w:t xml:space="preserve">Aktuelles Signal: </w:t>
      </w:r>
      <w:hyperlink r:id="rId23" w:history="1">
        <w:r>
          <w:rPr>
            <w:color w:val="2563EB"/>
            <w:u w:val="single"/>
          </w:rPr>
          <w:t>Q2 2026</w:t>
        </w:r>
      </w:hyperlink>
      <w:r>
        <w:t xml:space="preserve">: Umsatz </w:t>
      </w:r>
      <w:hyperlink r:id="rId23" w:history="1">
        <w:r>
          <w:rPr>
            <w:color w:val="2563EB"/>
            <w:u w:val="single"/>
          </w:rPr>
          <w:t>6,044 Mrd. EUR</w:t>
        </w:r>
      </w:hyperlink>
      <w:r>
        <w:t xml:space="preserve">, Ergebnis des laufenden Geschäftsbetriebs </w:t>
      </w:r>
      <w:hyperlink r:id="rId23" w:history="1">
        <w:r>
          <w:rPr>
            <w:color w:val="2563EB"/>
            <w:u w:val="single"/>
          </w:rPr>
          <w:t>1,086 Mrd. EUR</w:t>
        </w:r>
      </w:hyperlink>
      <w:r>
        <w:t xml:space="preserve"> und RCOBD-Marge </w:t>
      </w:r>
      <w:hyperlink r:id="rId23" w:history="1">
        <w:r>
          <w:rPr>
            <w:color w:val="2563EB"/>
            <w:u w:val="single"/>
          </w:rPr>
          <w:t>23,4 % nach 24,2 %</w:t>
        </w:r>
      </w:hyperlink>
      <w:r>
        <w:t xml:space="preserve">. Der Jahreskorridor für RCO wurde auf </w:t>
      </w:r>
      <w:hyperlink r:id="rId23" w:history="1">
        <w:r>
          <w:rPr>
            <w:color w:val="2563EB"/>
            <w:u w:val="single"/>
          </w:rPr>
          <w:t>3,40 Mrd. EUR bis 3,65 Mrd. EUR</w:t>
        </w:r>
      </w:hyperlink>
      <w:r>
        <w:t xml:space="preserve"> präzisiert.</w:t>
      </w:r>
    </w:p>
    <w:p>
      <w:pPr>
        <w:spacing w:after="80"/>
      </w:pPr>
      <w:r>
        <w:rPr>
          <w:b/>
          <w:color w:val="111827"/>
        </w:rPr>
        <w:t xml:space="preserve">Fundamentalanker: </w:t>
      </w:r>
      <w:hyperlink r:id="rId16" w:history="1">
        <w:r>
          <w:rPr>
            <w:color w:val="2563EB"/>
            <w:u w:val="single"/>
          </w:rPr>
          <w:t>FY 2025</w:t>
        </w:r>
      </w:hyperlink>
      <w:r>
        <w:t xml:space="preserve">: </w:t>
      </w:r>
      <w:hyperlink r:id="rId16" w:history="1">
        <w:r>
          <w:rPr>
            <w:color w:val="2563EB"/>
            <w:u w:val="single"/>
          </w:rPr>
          <w:t>21,460 Mrd. EUR Umsatz</w:t>
        </w:r>
      </w:hyperlink>
      <w:r>
        <w:t xml:space="preserve">, </w:t>
      </w:r>
      <w:hyperlink r:id="rId16" w:history="1">
        <w:r>
          <w:rPr>
            <w:color w:val="2563EB"/>
            <w:u w:val="single"/>
          </w:rPr>
          <w:t>4,679 Mrd. EUR RCOBD</w:t>
        </w:r>
      </w:hyperlink>
      <w:r>
        <w:t xml:space="preserve"> und </w:t>
      </w:r>
      <w:hyperlink r:id="rId16" w:history="1">
        <w:r>
          <w:rPr>
            <w:color w:val="2563EB"/>
            <w:u w:val="single"/>
          </w:rPr>
          <w:t>2,163 Mrd. EUR bereinigter freier Cashflow</w:t>
        </w:r>
      </w:hyperlink>
      <w:r>
        <w:t>.</w:t>
      </w:r>
    </w:p>
    <w:p>
      <w:pPr>
        <w:spacing w:after="80"/>
      </w:pPr>
      <w:r>
        <w:rPr>
          <w:b/>
          <w:color w:val="111827"/>
        </w:rPr>
        <w:t xml:space="preserve">FI-Einordnung: </w:t>
      </w:r>
      <w:r>
        <w:t>Das Unternehmen wächst, aber derzeit nicht mit operativem Leverage. Preisgestaltung und Effizienzmaßnahmen müssen den Volumenanstieg künftig stärker in Marge übersetzen.</w:t>
      </w:r>
    </w:p>
    <w:p>
      <w:pPr>
        <w:spacing w:after="80"/>
      </w:pPr>
      <w:r>
        <w:rPr>
          <w:b/>
          <w:color w:val="111827"/>
        </w:rPr>
        <w:t xml:space="preserve">Watch: </w:t>
      </w:r>
      <w:r>
        <w:t>Preisdurchsetzung, Kosteneinsparungen und operative Marge</w:t>
      </w:r>
    </w:p>
    <w:p>
      <w:pPr>
        <w:spacing w:after="60"/>
      </w:pPr>
      <w:r>
        <w:rPr>
          <w:b/>
          <w:sz w:val="16"/>
        </w:rPr>
        <w:t xml:space="preserve">Wochenquelle: </w:t>
      </w:r>
      <w:hyperlink r:id="rId23" w:history="1">
        <w:r>
          <w:rPr>
            <w:color w:val="2563EB"/>
            <w:u w:val="single"/>
            <w:sz w:val="16"/>
            <w:szCs w:val="16"/>
          </w:rPr>
          <w:t>Q2-Ergebnismeldung · 30. Juli 2026 · Financial highlights und Outlook for 2026</w:t>
        </w:r>
      </w:hyperlink>
    </w:p>
    <w:p>
      <w:pPr>
        <w:spacing w:after="60"/>
      </w:pPr>
      <w:r>
        <w:rPr>
          <w:b/>
          <w:sz w:val="16"/>
        </w:rPr>
        <w:t xml:space="preserve">Fundamentalquelle: </w:t>
      </w:r>
      <w:hyperlink r:id="rId16" w:history="1">
        <w:r>
          <w:rPr>
            <w:color w:val="2563EB"/>
            <w:u w:val="single"/>
            <w:sz w:val="16"/>
            <w:szCs w:val="16"/>
          </w:rPr>
          <w:t>Annual and Sustainability Report 2025 · 26. März 2026 · Earnings position sowie Cash flow and investments</w:t>
        </w:r>
      </w:hyperlink>
    </w:p>
    <w:p>
      <w:pPr>
        <w:pStyle w:val="Heading2"/>
        <w:keepNext/>
      </w:pPr>
      <w:r>
        <w:t>Symrise – Solide</w:t>
      </w:r>
    </w:p>
    <w:p>
      <w:pPr>
        <w:spacing w:after="80"/>
      </w:pPr>
      <w:r>
        <w:rPr>
          <w:b/>
          <w:color w:val="111827"/>
        </w:rPr>
        <w:t xml:space="preserve">Aktuelles Signal: </w:t>
      </w:r>
      <w:hyperlink r:id="rId24" w:history="1">
        <w:r>
          <w:rPr>
            <w:color w:val="2563EB"/>
            <w:u w:val="single"/>
          </w:rPr>
          <w:t>Q2 2026</w:t>
        </w:r>
      </w:hyperlink>
      <w:r>
        <w:t xml:space="preserve">: organisches Wachstum </w:t>
      </w:r>
      <w:hyperlink r:id="rId24" w:history="1">
        <w:r>
          <w:rPr>
            <w:color w:val="2563EB"/>
            <w:u w:val="single"/>
          </w:rPr>
          <w:t>4,5 %</w:t>
        </w:r>
      </w:hyperlink>
      <w:r>
        <w:t xml:space="preserve">. Im </w:t>
      </w:r>
      <w:hyperlink r:id="rId24" w:history="1">
        <w:r>
          <w:rPr>
            <w:color w:val="2563EB"/>
            <w:u w:val="single"/>
          </w:rPr>
          <w:t>H1 2026</w:t>
        </w:r>
      </w:hyperlink>
      <w:r>
        <w:t xml:space="preserve"> erreichten das bereinigte EBITDA </w:t>
      </w:r>
      <w:hyperlink r:id="rId24" w:history="1">
        <w:r>
          <w:rPr>
            <w:color w:val="2563EB"/>
            <w:u w:val="single"/>
          </w:rPr>
          <w:t>553 Mio. EUR</w:t>
        </w:r>
      </w:hyperlink>
      <w:r>
        <w:t xml:space="preserve">, die bereinigte EBITDA-Marge </w:t>
      </w:r>
      <w:hyperlink r:id="rId24" w:history="1">
        <w:r>
          <w:rPr>
            <w:color w:val="2563EB"/>
            <w:u w:val="single"/>
          </w:rPr>
          <w:t>21,8 %</w:t>
        </w:r>
      </w:hyperlink>
      <w:r>
        <w:t xml:space="preserve"> und der bereinigte Business Free Cashflow </w:t>
      </w:r>
      <w:hyperlink r:id="rId24" w:history="1">
        <w:r>
          <w:rPr>
            <w:color w:val="2563EB"/>
            <w:u w:val="single"/>
          </w:rPr>
          <w:t>347 Mio. EUR</w:t>
        </w:r>
      </w:hyperlink>
      <w:r>
        <w:t>.</w:t>
      </w:r>
    </w:p>
    <w:p>
      <w:pPr>
        <w:spacing w:after="80"/>
      </w:pPr>
      <w:r>
        <w:rPr>
          <w:b/>
          <w:color w:val="111827"/>
        </w:rPr>
        <w:t xml:space="preserve">Fundamentalanker: </w:t>
      </w:r>
      <w:hyperlink r:id="rId17" w:history="1">
        <w:r>
          <w:rPr>
            <w:color w:val="2563EB"/>
            <w:u w:val="single"/>
          </w:rPr>
          <w:t>FY 2025</w:t>
        </w:r>
      </w:hyperlink>
      <w:r>
        <w:t xml:space="preserve">: </w:t>
      </w:r>
      <w:hyperlink r:id="rId17" w:history="1">
        <w:r>
          <w:rPr>
            <w:color w:val="2563EB"/>
            <w:u w:val="single"/>
          </w:rPr>
          <w:t>4,929 Mrd. EUR Umsatz</w:t>
        </w:r>
      </w:hyperlink>
      <w:r>
        <w:t xml:space="preserve">, </w:t>
      </w:r>
      <w:hyperlink r:id="rId17" w:history="1">
        <w:r>
          <w:rPr>
            <w:color w:val="2563EB"/>
            <w:u w:val="single"/>
          </w:rPr>
          <w:t>21,9 % EBITDA-Marge</w:t>
        </w:r>
      </w:hyperlink>
      <w:r>
        <w:t xml:space="preserve"> und </w:t>
      </w:r>
      <w:hyperlink r:id="rId17" w:history="1">
        <w:r>
          <w:rPr>
            <w:color w:val="2563EB"/>
            <w:u w:val="single"/>
          </w:rPr>
          <w:t>780 Mio. EUR Business Free Cashflow</w:t>
        </w:r>
      </w:hyperlink>
      <w:r>
        <w:t>.</w:t>
      </w:r>
    </w:p>
    <w:p>
      <w:pPr>
        <w:spacing w:after="80"/>
      </w:pPr>
      <w:r>
        <w:rPr>
          <w:b/>
          <w:color w:val="111827"/>
        </w:rPr>
        <w:t xml:space="preserve">FI-Einordnung: </w:t>
      </w:r>
      <w:r>
        <w:t>Das Update ist qualitativ solide. Die beschleunigte Nachfrage und der hohe Cashflow stehen einer weiterhin deutlichen Segmentdivergenz und laufenden Transformationskosten gegenüber.</w:t>
      </w:r>
    </w:p>
    <w:p>
      <w:pPr>
        <w:spacing w:after="80"/>
      </w:pPr>
      <w:r>
        <w:rPr>
          <w:b/>
          <w:color w:val="111827"/>
        </w:rPr>
        <w:t xml:space="preserve">Watch: </w:t>
      </w:r>
      <w:r>
        <w:t>Segmentdivergenz, Transformation und Cashflow-Konversion</w:t>
      </w:r>
    </w:p>
    <w:p>
      <w:pPr>
        <w:spacing w:after="60"/>
      </w:pPr>
      <w:r>
        <w:rPr>
          <w:b/>
          <w:sz w:val="16"/>
        </w:rPr>
        <w:t xml:space="preserve">Wochenquelle: </w:t>
      </w:r>
      <w:hyperlink r:id="rId24" w:history="1">
        <w:r>
          <w:rPr>
            <w:color w:val="2563EB"/>
            <w:u w:val="single"/>
            <w:sz w:val="16"/>
            <w:szCs w:val="16"/>
          </w:rPr>
          <w:t>H1-Ergebnismeldung · 30. Juli 2026 · H1 highlights und Segment Performance</w:t>
        </w:r>
      </w:hyperlink>
    </w:p>
    <w:p>
      <w:pPr>
        <w:spacing w:after="60"/>
      </w:pPr>
      <w:r>
        <w:rPr>
          <w:b/>
          <w:sz w:val="16"/>
        </w:rPr>
        <w:t xml:space="preserve">Fundamentalquelle: </w:t>
      </w:r>
      <w:hyperlink r:id="rId17" w:history="1">
        <w:r>
          <w:rPr>
            <w:color w:val="2563EB"/>
            <w:u w:val="single"/>
            <w:sz w:val="16"/>
            <w:szCs w:val="16"/>
          </w:rPr>
          <w:t>Corporate Report 2025 · 4. März 2026 · Key figures of the Group, Spalte 2025</w:t>
        </w:r>
      </w:hyperlink>
    </w:p>
    <w:p>
      <w:r>
        <w:br w:type="page"/>
      </w:r>
    </w:p>
    <w:p>
      <w:pPr>
        <w:pStyle w:val="Heading1"/>
        <w:keepNext/>
      </w:pPr>
      <w:r>
        <w:t>Methodik, Vertrauensstandard und Evidenzregister</w:t>
      </w:r>
    </w:p>
    <w:p>
      <w:pPr>
        <w:pStyle w:val="ListBullet"/>
      </w:pPr>
      <w:r>
        <w:rPr>
          <w:b/>
        </w:rPr>
        <w:t xml:space="preserve">Primärquelle vor Aggregator: </w:t>
      </w:r>
      <w:r>
        <w:t>Veröffentlicht werden offizielle Investor-Relations-, Ergebnis- und Geschäftsberichtsquellen der Unternehmen.</w:t>
      </w:r>
    </w:p>
    <w:p>
      <w:pPr>
        <w:pStyle w:val="ListBullet"/>
      </w:pPr>
      <w:r>
        <w:rPr>
          <w:b/>
        </w:rPr>
        <w:t xml:space="preserve">Kennzahl und Definition bleiben zusammen: </w:t>
      </w:r>
      <w:r>
        <w:t>Alternative Performance Measures werden mit der Unternehmensbezeichnung geführt; unterschiedliche Cashflow- oder Ergebnisbegriffe werden nicht stillschweigend gleichgesetzt.</w:t>
      </w:r>
    </w:p>
    <w:p>
      <w:pPr>
        <w:pStyle w:val="ListBullet"/>
      </w:pPr>
      <w:r>
        <w:rPr>
          <w:b/>
        </w:rPr>
        <w:t xml:space="preserve">Fundstelle statt bloßer Domain: </w:t>
      </w:r>
      <w:r>
        <w:t>Das Register nennt Dokument, Veröffentlichungsdatum und konkrete Tabelle, Sektion oder Berichtsseite.</w:t>
      </w:r>
    </w:p>
    <w:p>
      <w:pPr>
        <w:pStyle w:val="ListBullet"/>
      </w:pPr>
      <w:r>
        <w:rPr>
          <w:b/>
        </w:rPr>
        <w:t xml:space="preserve">No source, no publish: </w:t>
      </w:r>
      <w:r>
        <w:t>Fehlt die belastbare Zuordnung, wird die Kennzahl nicht in den öffentlichen Brief übernommen.</w:t>
      </w:r>
    </w:p>
    <w:p>
      <w:pPr>
        <w:pStyle w:val="Heading2"/>
      </w:pPr>
      <w:r>
        <w:t>Datenqualitätskorrekturen gegenüber der Vorversion</w:t>
      </w:r>
    </w:p>
    <w:p>
      <w:pPr>
        <w:pStyle w:val="ListBullet"/>
      </w:pPr>
      <w:r>
        <w:rPr>
          <w:b/>
        </w:rPr>
        <w:t xml:space="preserve">Symrise: </w:t>
      </w:r>
      <w:r>
        <w:t xml:space="preserve">Der generisch abgeleitete freie Cashflow wurde durch den vom Unternehmen definierten </w:t>
      </w:r>
      <w:hyperlink r:id="rId17" w:history="1">
        <w:r>
          <w:rPr>
            <w:color w:val="2563EB"/>
            <w:u w:val="single"/>
          </w:rPr>
          <w:t>Business Free Cashflow von 780 Mio. EUR</w:t>
        </w:r>
      </w:hyperlink>
      <w:r>
        <w:t xml:space="preserve"> ersetzt. Das verhindert einen Definitionsbruch.</w:t>
      </w:r>
    </w:p>
    <w:p>
      <w:pPr>
        <w:pStyle w:val="ListBullet"/>
      </w:pPr>
      <w:r>
        <w:rPr>
          <w:b/>
        </w:rPr>
        <w:t xml:space="preserve">Airbus: </w:t>
      </w:r>
      <w:r>
        <w:t xml:space="preserve">Die veraltete lokale Jahresbasis wurde durch die offizielle </w:t>
      </w:r>
      <w:hyperlink r:id="rId14" w:history="1">
        <w:r>
          <w:rPr>
            <w:color w:val="2563EB"/>
            <w:u w:val="single"/>
          </w:rPr>
          <w:t>FY-2025-Ergebnismeldung</w:t>
        </w:r>
      </w:hyperlink>
      <w:r>
        <w:t xml:space="preserve"> ersetzt.</w:t>
      </w:r>
    </w:p>
    <w:p>
      <w:pPr>
        <w:pStyle w:val="Heading2"/>
      </w:pPr>
      <w:r>
        <w:t>Evidenzregister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28"/>
        <w:gridCol w:w="2028"/>
        <w:gridCol w:w="2028"/>
        <w:gridCol w:w="2028"/>
        <w:gridCol w:w="2028"/>
      </w:tblGrid>
      <w:tr>
        <w:trPr>
          <w:tblHeader w:val="true"/>
        </w:trPr>
        <w:tc>
          <w:tcPr>
            <w:tcW w:type="dxa" w:w="1531"/>
            <w:shd w:fill="11182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5"/>
              </w:rPr>
              <w:t>Unternehmen</w:t>
            </w:r>
          </w:p>
        </w:tc>
        <w:tc>
          <w:tcPr>
            <w:tcW w:type="dxa" w:w="1020"/>
            <w:shd w:fill="11182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5"/>
              </w:rPr>
              <w:t>Ebene</w:t>
            </w:r>
          </w:p>
        </w:tc>
        <w:tc>
          <w:tcPr>
            <w:tcW w:type="dxa" w:w="2324"/>
            <w:shd w:fill="11182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5"/>
              </w:rPr>
              <w:t>Primärquelle</w:t>
            </w:r>
          </w:p>
        </w:tc>
        <w:tc>
          <w:tcPr>
            <w:tcW w:type="dxa" w:w="2778"/>
            <w:shd w:fill="11182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5"/>
              </w:rPr>
              <w:t>Fundstelle</w:t>
            </w:r>
          </w:p>
        </w:tc>
        <w:tc>
          <w:tcPr>
            <w:tcW w:type="dxa" w:w="1361"/>
            <w:shd w:fill="11182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5"/>
              </w:rPr>
              <w:t>Status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b/>
                <w:sz w:val="13"/>
              </w:rPr>
              <w:t>Deutsche Bank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Woche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hyperlink r:id="rId18" w:history="1">
              <w:r>
                <w:rPr>
                  <w:color w:val="2563EB"/>
                  <w:u w:val="single"/>
                  <w:sz w:val="13"/>
                  <w:szCs w:val="13"/>
                </w:rPr>
                <w:t>Q2-Ergebnismeldung · 29. Juli 2026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Highlights und Group results at a glance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b/>
                <w:sz w:val="13"/>
              </w:rPr>
              <w:t>Deutsche Bank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Fundamental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hyperlink r:id="rId11" w:history="1">
              <w:r>
                <w:rPr>
                  <w:color w:val="2563EB"/>
                  <w:u w:val="single"/>
                  <w:sz w:val="13"/>
                  <w:szCs w:val="13"/>
                </w:rPr>
                <w:t>Geschäftsbericht 2025 · 12. März 2026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Kennzahlenübersicht, Berichtsseite 1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b/>
                <w:sz w:val="13"/>
              </w:rPr>
              <w:t>BASF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sz w:val="13"/>
              </w:rPr>
              <w:t>Woche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hyperlink r:id="rId19" w:history="1">
              <w:r>
                <w:rPr>
                  <w:color w:val="2563EB"/>
                  <w:u w:val="single"/>
                  <w:sz w:val="13"/>
                  <w:szCs w:val="13"/>
                </w:rPr>
                <w:t>Q2-Ergebnismeldung · 29. Juli 2026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sz w:val="13"/>
              </w:rPr>
              <w:t>Business development in second quarter 2026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b/>
                <w:sz w:val="13"/>
              </w:rPr>
              <w:t>BASF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sz w:val="13"/>
              </w:rPr>
              <w:t>Fundamental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hyperlink r:id="rId12" w:history="1">
              <w:r>
                <w:rPr>
                  <w:color w:val="2563EB"/>
                  <w:u w:val="single"/>
                  <w:sz w:val="13"/>
                  <w:szCs w:val="13"/>
                </w:rPr>
                <w:t>BASF Report 2025 · 27. Februar 2026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sz w:val="13"/>
              </w:rPr>
              <w:t>Ten-Year Summary, Spalte 2025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b/>
                <w:sz w:val="13"/>
              </w:rPr>
              <w:t>Adidas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Woche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hyperlink r:id="rId20" w:history="1">
              <w:r>
                <w:rPr>
                  <w:color w:val="2563EB"/>
                  <w:u w:val="single"/>
                  <w:sz w:val="13"/>
                  <w:szCs w:val="13"/>
                </w:rPr>
                <w:t>Q2-Ergebnismeldung · 30. Juli 2026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Second-quarter results und Full-year outlook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b/>
                <w:sz w:val="13"/>
              </w:rPr>
              <w:t>Adidas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Fundamental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hyperlink r:id="rId13" w:history="1">
              <w:r>
                <w:rPr>
                  <w:color w:val="2563EB"/>
                  <w:u w:val="single"/>
                  <w:sz w:val="13"/>
                  <w:szCs w:val="13"/>
                </w:rPr>
                <w:t>Annual Report 2025 · 4. März 2026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Consolidated Income Statement, technischer PDF-Index 311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b/>
                <w:sz w:val="13"/>
              </w:rPr>
              <w:t>Airbus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sz w:val="13"/>
              </w:rPr>
              <w:t>Woche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hyperlink r:id="rId21" w:history="1">
              <w:r>
                <w:rPr>
                  <w:color w:val="2563EB"/>
                  <w:u w:val="single"/>
                  <w:sz w:val="13"/>
                  <w:szCs w:val="13"/>
                </w:rPr>
                <w:t>H1-Ergebnismeldung · 29. Juli 2026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sz w:val="13"/>
              </w:rPr>
              <w:t>Consolidated Airbus – H1 2026 Results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b/>
                <w:sz w:val="13"/>
              </w:rPr>
              <w:t>Airbus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sz w:val="13"/>
              </w:rPr>
              <w:t>Fundamental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hyperlink r:id="rId14" w:history="1">
              <w:r>
                <w:rPr>
                  <w:color w:val="2563EB"/>
                  <w:u w:val="single"/>
                  <w:sz w:val="13"/>
                  <w:szCs w:val="13"/>
                </w:rPr>
                <w:t>FY-2025-Ergebnismeldung · 19. Februar 2026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sz w:val="13"/>
              </w:rPr>
              <w:t>Consolidated Airbus – FY 2025 Results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b/>
                <w:sz w:val="13"/>
              </w:rPr>
              <w:t>Siemens Healthineers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Woche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hyperlink r:id="rId22" w:history="1">
              <w:r>
                <w:rPr>
                  <w:color w:val="2563EB"/>
                  <w:u w:val="single"/>
                  <w:sz w:val="13"/>
                  <w:szCs w:val="13"/>
                </w:rPr>
                <w:t>Q3-FY2026-Ergebnismeldung · 31. Juli 2026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Q3 Fiscal Year 2026 und Updated Outlook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b/>
                <w:sz w:val="13"/>
              </w:rPr>
              <w:t>Siemens Healthineers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Fundamental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hyperlink r:id="rId15" w:history="1">
              <w:r>
                <w:rPr>
                  <w:color w:val="2563EB"/>
                  <w:u w:val="single"/>
                  <w:sz w:val="13"/>
                  <w:szCs w:val="13"/>
                </w:rPr>
                <w:t>Annual Report 2025 · 26. November 2025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Umsatz S. 15, Nettoverschuldung S. 19, Free Cashflow S. 23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b/>
                <w:sz w:val="13"/>
              </w:rPr>
              <w:t>Heidelberg Materials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sz w:val="13"/>
              </w:rPr>
              <w:t>Woche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hyperlink r:id="rId23" w:history="1">
              <w:r>
                <w:rPr>
                  <w:color w:val="2563EB"/>
                  <w:u w:val="single"/>
                  <w:sz w:val="13"/>
                  <w:szCs w:val="13"/>
                </w:rPr>
                <w:t>Q2-Ergebnismeldung · 30. Juli 2026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sz w:val="13"/>
              </w:rPr>
              <w:t>Financial highlights und Outlook for 2026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b/>
                <w:sz w:val="13"/>
              </w:rPr>
              <w:t>Heidelberg Materials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sz w:val="13"/>
              </w:rPr>
              <w:t>Fundamental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hyperlink r:id="rId16" w:history="1">
              <w:r>
                <w:rPr>
                  <w:color w:val="2563EB"/>
                  <w:u w:val="single"/>
                  <w:sz w:val="13"/>
                  <w:szCs w:val="13"/>
                </w:rPr>
                <w:t>Annual and Sustainability Report 2025 · 26. März 2026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sz w:val="13"/>
              </w:rPr>
              <w:t>Earnings position sowie Cash flow and investments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1F5F9"/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b/>
                <w:sz w:val="13"/>
              </w:rPr>
              <w:t>Symrise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Woche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hyperlink r:id="rId24" w:history="1">
              <w:r>
                <w:rPr>
                  <w:color w:val="2563EB"/>
                  <w:u w:val="single"/>
                  <w:sz w:val="13"/>
                  <w:szCs w:val="13"/>
                </w:rPr>
                <w:t>H1-Ergebnismeldung · 30. Juli 2026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H1 highlights und Segment Performance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  <w:tr>
        <w:tc>
          <w:tcPr>
            <w:tcW w:type="dxa" w:w="153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b/>
                <w:sz w:val="13"/>
              </w:rPr>
              <w:t>Symrise</w:t>
            </w:r>
          </w:p>
        </w:tc>
        <w:tc>
          <w:tcPr>
            <w:tcW w:type="dxa" w:w="102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Fundamental</w:t>
            </w:r>
          </w:p>
        </w:tc>
        <w:tc>
          <w:tcPr>
            <w:tcW w:type="dxa" w:w="232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hyperlink r:id="rId17" w:history="1">
              <w:r>
                <w:rPr>
                  <w:color w:val="2563EB"/>
                  <w:u w:val="single"/>
                  <w:sz w:val="13"/>
                  <w:szCs w:val="13"/>
                </w:rPr>
                <w:t>Corporate Report 2025 · 4. März 2026</w:t>
              </w:r>
            </w:hyperlink>
          </w:p>
        </w:tc>
        <w:tc>
          <w:tcPr>
            <w:tcW w:type="dxa" w:w="277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sz w:val="13"/>
              </w:rPr>
              <w:t>Key figures of the Group, Spalte 2025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</w:pPr>
            <w:r>
              <w:rPr>
                <w:color w:val="047857"/>
                <w:sz w:val="13"/>
              </w:rPr>
              <w:t>Primärquelle geprüft</w:t>
            </w:r>
          </w:p>
        </w:tc>
      </w:tr>
    </w:tbl>
    <w:p>
      <w:pPr>
        <w:pStyle w:val="Heading1"/>
      </w:pPr>
      <w:r>
        <w:t>Was die Woche insgesamt zeigt</w:t>
      </w:r>
    </w:p>
    <w:p>
      <w:pPr>
        <w:spacing w:after="180"/>
      </w:pPr>
      <w:r>
        <w:rPr>
          <w:b/>
          <w:color w:val="111827"/>
          <w:sz w:val="24"/>
        </w:rPr>
        <w:t>Nicht das höchste berichtete Ergebnis ist das stärkste Signal, sondern die Kombination aus organischem Wachstum, stabiler Marge, Cash Conversion und belastbarer Prognose.</w:t>
      </w:r>
    </w:p>
    <w:p>
      <w:pPr>
        <w:pStyle w:val="Heading1"/>
      </w:pPr>
      <w:r>
        <w:t>Priority Watch für die Folgewoche</w:t>
      </w:r>
    </w:p>
    <w:p>
      <w:pPr>
        <w:pStyle w:val="ListBullet"/>
      </w:pPr>
      <w:r>
        <w:t>BASF: Normalisierung von Working Capital und freiem Cashflow.</w:t>
      </w:r>
    </w:p>
    <w:p>
      <w:pPr>
        <w:pStyle w:val="ListBullet"/>
      </w:pPr>
      <w:r>
        <w:t>Airbus: Auslieferungstempo, Lieferkette und Bestandsabbau.</w:t>
      </w:r>
    </w:p>
    <w:p>
      <w:pPr>
        <w:pStyle w:val="ListBullet"/>
      </w:pPr>
      <w:r>
        <w:t>Siemens Healthineers: Diagnostics und organische Qualität der EPS-Entwicklung.</w:t>
      </w:r>
    </w:p>
    <w:p>
      <w:pPr>
        <w:pStyle w:val="ListBullet"/>
      </w:pPr>
      <w:r>
        <w:t>Deutsche Bank: Kostenquote, Kreditrisikovorsorge und Kapitalrückführung.</w:t>
      </w:r>
    </w:p>
    <w:p>
      <w:pPr>
        <w:pStyle w:val="ListBullet"/>
      </w:pPr>
      <w:r>
        <w:t>Adidas und Heidelberg Materials: Umsetzung von Umsatzwachstum in operative Marge.</w:t>
      </w:r>
    </w:p>
    <w:p>
      <w:pPr>
        <w:pStyle w:val="Heading1"/>
      </w:pPr>
      <w:r>
        <w:t>Weiterführende Fragen</w:t>
      </w:r>
    </w:p>
    <w:p>
      <w:pPr>
        <w:pStyle w:val="ListBullet"/>
      </w:pPr>
      <w:r>
        <w:t>Welche Unternehmen bestätigen die aktuelle Dynamik auch im freien Cashflow des zweiten Halbjahres?</w:t>
      </w:r>
    </w:p>
    <w:p>
      <w:pPr>
        <w:pStyle w:val="ListBullet"/>
      </w:pPr>
      <w:r>
        <w:t>Welche Prognoseanhebungen beruhen auf operativer Verbesserung und welche auf nicht wiederkehrenden Effekten?</w:t>
      </w:r>
    </w:p>
    <w:p>
      <w:pPr>
        <w:pStyle w:val="ListBullet"/>
      </w:pPr>
      <w:r>
        <w:t>Wo führt Kapitalrückführung zu nachhaltig höheren Kapitalrenditen – und wo konkurriert sie mit Bilanzabbau?</w:t>
      </w:r>
    </w:p>
    <w:p>
      <w:pPr>
        <w:pStyle w:val="Heading1"/>
      </w:pPr>
      <w:r>
        <w:t>Datenbasis und Einschränkungen</w:t>
      </w:r>
    </w:p>
    <w:p>
      <w:r>
        <w:t>Der Brief nutzt den Evidenzstand der lokalen NATHAN Financial Intelligence Datenbank und gleicht jede veröffentlichte Kennzahl mit einer offiziellen Unternehmensquelle ab. Quartals- und Halbjahresmeldungen können ungeprüft sein; alternative Leistungskennzahlen folgen den Definitionen des jeweiligen Unternehmens. Die Auswahl ist ein fokussierter Wochen-Watch und keine vollständige Abdeckung aller Indexunternehmen.</w:t>
      </w:r>
    </w:p>
    <w:p>
      <w:pPr>
        <w:spacing w:before="200"/>
      </w:pPr>
      <w:r>
        <w:rPr>
          <w:i/>
          <w:color w:val="475569"/>
          <w:sz w:val="17"/>
        </w:rPr>
        <w:t>Hinweis: Dieses Dokument dient ausschließlich der Unternehmens- und Marktbeobachtung. Es stellt keine Anlage-, Rechts- oder Steuerberatung dar.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2"/>
      </w:tblGrid>
      <w:tr>
        <w:tc>
          <w:tcPr>
            <w:tcW w:type="dxa" w:w="10142"/>
            <w:shd w:fill="FFF2E8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</w:rPr>
              <w:t xml:space="preserve">Financial Intelligence weiterverfolgen: </w:t>
            </w:r>
            <w:hyperlink r:id="rId25" w:history="1">
              <w:r>
                <w:rPr>
                  <w:color w:val="2563EB"/>
                  <w:u w:val="single"/>
                </w:rPr>
                <w:t>https://ecd-system.eu/financial-intelligence</w:t>
              </w:r>
            </w:hyperlink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5" w:right="1049" w:bottom="879" w:left="10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75569"/>
        <w:sz w:val="15"/>
      </w:rPr>
      <w:t xml:space="preserve">legal1st / NATHAN  ·  </w:t>
    </w:r>
    <w:hyperlink r:id="rId1" w:history="1">
      <w:r>
        <w:rPr>
          <w:color w:val="475569"/>
          <w:u w:val="single"/>
          <w:sz w:val="15"/>
          <w:szCs w:val="15"/>
        </w:rPr>
        <w:t>ecd-system.eu/financial-intelligence</w:t>
      </w:r>
    </w:hyperlink>
    <w:r>
      <w:rPr>
        <w:color w:val="475569"/>
        <w:sz w:val="15"/>
      </w:rPr>
      <w:t xml:space="preserve">  ·  </w:t>
    </w:r>
    <w:r>
      <w:rPr>
        <w:color w:val="475569"/>
        <w:sz w:val="15"/>
      </w:rPr>
      <w:t xml:space="preserve">Seite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/>
    <w:r>
      <w:rPr>
        <w:b/>
        <w:color w:val="475569"/>
        <w:sz w:val="15"/>
      </w:rPr>
      <w:t>NATHAN FINANCIAL INTELLIGENCE  /  CORPORATE BRIEF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1182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11827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F97316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11827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11827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investor-relations.db.com/files/documents/other-presentations-and-events/2025/Geschaeftsbericht-2025.pdf?language_id=3" TargetMode="External"/><Relationship Id="rId12" Type="http://schemas.openxmlformats.org/officeDocument/2006/relationships/hyperlink" Target="https://report.basf.com/2025/en/overviews/ten-year-summary.html" TargetMode="External"/><Relationship Id="rId13" Type="http://schemas.openxmlformats.org/officeDocument/2006/relationships/hyperlink" Target="https://res.cloudinary.com/confirmed-web/image/upload/v1772605733/adidas-group/investors/financial-publications/2025/Q4/2025_annual_report_adidas_EN_tntilf.pdf" TargetMode="External"/><Relationship Id="rId14" Type="http://schemas.openxmlformats.org/officeDocument/2006/relationships/hyperlink" Target="https://www.airbus.com/en/newsroom/press-releases/2026-02-airbus-reports-full-year-fy-2025-results" TargetMode="External"/><Relationship Id="rId15" Type="http://schemas.openxmlformats.org/officeDocument/2006/relationships/hyperlink" Target="https://corporate.webassets.siemens-healthineers.com/a364b935102e7df5/d7fdacda458e/siemens-healthineers-ir-annual-report-2025.pdf" TargetMode="External"/><Relationship Id="rId16" Type="http://schemas.openxmlformats.org/officeDocument/2006/relationships/hyperlink" Target="https://www.heidelbergmaterials.com/system/files/2026-03/HM_ASR25_en.pdf" TargetMode="External"/><Relationship Id="rId17" Type="http://schemas.openxmlformats.org/officeDocument/2006/relationships/hyperlink" Target="https://symrise.com/corporatereport/2025/konzernkennzahlen/index.html" TargetMode="External"/><Relationship Id="rId18" Type="http://schemas.openxmlformats.org/officeDocument/2006/relationships/hyperlink" Target="https://www.db.com/news/detail/20260729-deutsche-bank-reports-second-quarter-2026-results?language_id=1" TargetMode="External"/><Relationship Id="rId19" Type="http://schemas.openxmlformats.org/officeDocument/2006/relationships/hyperlink" Target="https://www.basf.com/global/en/media/news-releases/2026/07/p-26-123" TargetMode="External"/><Relationship Id="rId20" Type="http://schemas.openxmlformats.org/officeDocument/2006/relationships/hyperlink" Target="https://www.adidas-group.com/en/media/press-releases/adidas-grows-top-line-14percent-and-achieves-record-sales-in-q2" TargetMode="External"/><Relationship Id="rId21" Type="http://schemas.openxmlformats.org/officeDocument/2006/relationships/hyperlink" Target="https://www.airbus.com/en/newsroom/press-releases/2026-07-airbus-reports-half-year-h1-2026-results" TargetMode="External"/><Relationship Id="rId22" Type="http://schemas.openxmlformats.org/officeDocument/2006/relationships/hyperlink" Target="https://www.siemens-healthineers.com/press/releases/2026q3" TargetMode="External"/><Relationship Id="rId23" Type="http://schemas.openxmlformats.org/officeDocument/2006/relationships/hyperlink" Target="https://www.heidelbergmaterials.com/en/pr-2026-07-30" TargetMode="External"/><Relationship Id="rId24" Type="http://schemas.openxmlformats.org/officeDocument/2006/relationships/hyperlink" Target="https://www.symrise.com/newsroom/article/symrise-reports-solid-h1-2026-performance-with-accelerating-growth-momentum-in-q2/" TargetMode="External"/><Relationship Id="rId25" Type="http://schemas.openxmlformats.org/officeDocument/2006/relationships/hyperlink" Target="https://ecd-system.eu/financial-intelligence" TargetMode="Externa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ecd-system.eu/financial-intellig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Intelligence Brief | DAX Watch | KW 31/2026</dc:title>
  <dc:subject>Source-backed Financial Intelligence Wochenbrief</dc:subject>
  <dc:creator>NATHAN Financial Intelligence / legal1st</dc:creator>
  <cp:keywords>DAX, Financial Intelligence, Corporate Intelligence, KW31, 2026, Primärquellen</cp:keywords>
  <dc:description>generated by python-docx</dc:description>
  <cp:lastModifiedBy/>
  <cp:revision>1</cp:revision>
  <dcterms:created xsi:type="dcterms:W3CDTF">2026-08-02T12:00:00Z</dcterms:created>
  <dcterms:modified xsi:type="dcterms:W3CDTF">2026-08-02T12:00:00Z</dcterms:modified>
  <cp:category/>
</cp:coreProperties>
</file>